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05" w:rsidRDefault="00530905" w:rsidP="00BE41A3">
      <w:pPr>
        <w:pStyle w:val="DzMetin"/>
        <w:ind w:firstLine="709"/>
        <w:jc w:val="center"/>
      </w:pPr>
      <w:bookmarkStart w:id="0" w:name="_Toc318057760"/>
      <w:bookmarkStart w:id="1" w:name="_Toc318149244"/>
    </w:p>
    <w:p w:rsidR="00530905" w:rsidRDefault="00530905" w:rsidP="00BE41A3">
      <w:pPr>
        <w:pStyle w:val="DzMetin"/>
        <w:ind w:firstLine="709"/>
        <w:jc w:val="center"/>
      </w:pPr>
    </w:p>
    <w:p w:rsidR="00530905" w:rsidRDefault="00530905" w:rsidP="00BE41A3">
      <w:pPr>
        <w:pStyle w:val="DzMetin"/>
        <w:ind w:firstLine="709"/>
        <w:jc w:val="center"/>
      </w:pPr>
    </w:p>
    <w:p w:rsidR="00530905" w:rsidRDefault="00530905" w:rsidP="00BE41A3">
      <w:pPr>
        <w:pStyle w:val="DzMetin"/>
        <w:ind w:firstLine="709"/>
        <w:jc w:val="center"/>
      </w:pPr>
    </w:p>
    <w:bookmarkEnd w:id="0"/>
    <w:bookmarkEnd w:id="1"/>
    <w:p w:rsidR="00652B3C" w:rsidRPr="00162A70" w:rsidRDefault="00530905" w:rsidP="00BE41A3">
      <w:pPr>
        <w:pStyle w:val="DzMetin"/>
        <w:ind w:firstLine="709"/>
        <w:jc w:val="center"/>
      </w:pPr>
      <w:r w:rsidRPr="00530905">
        <w:rPr>
          <w:noProof/>
        </w:rPr>
        <w:drawing>
          <wp:inline distT="0" distB="0" distL="0" distR="0">
            <wp:extent cx="1533525" cy="1533525"/>
            <wp:effectExtent l="0" t="0" r="9525" b="9525"/>
            <wp:docPr id="308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Resi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a:extLst/>
                  </pic:spPr>
                </pic:pic>
              </a:graphicData>
            </a:graphic>
          </wp:inline>
        </w:drawing>
      </w:r>
    </w:p>
    <w:p w:rsidR="00652B3C" w:rsidRDefault="00744A3B" w:rsidP="00BE41A3">
      <w:pPr>
        <w:ind w:firstLine="709"/>
        <w:rPr>
          <w:b/>
        </w:rPr>
      </w:pPr>
      <w:r>
        <w:rPr>
          <w:noProof/>
          <w:color w:val="000000"/>
          <w:lang w:eastAsia="tr-TR"/>
        </w:rPr>
        <mc:AlternateContent>
          <mc:Choice Requires="wps">
            <w:drawing>
              <wp:anchor distT="0" distB="0" distL="114300" distR="114300" simplePos="0" relativeHeight="251659264" behindDoc="0" locked="0" layoutInCell="1" allowOverlap="1" wp14:anchorId="027FE3BE">
                <wp:simplePos x="0" y="0"/>
                <wp:positionH relativeFrom="margin">
                  <wp:align>left</wp:align>
                </wp:positionH>
                <wp:positionV relativeFrom="paragraph">
                  <wp:posOffset>180340</wp:posOffset>
                </wp:positionV>
                <wp:extent cx="6400800" cy="1663065"/>
                <wp:effectExtent l="0" t="0" r="0" b="0"/>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6306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1225D" w:rsidRPr="00652B3C" w:rsidRDefault="0021225D" w:rsidP="00652B3C">
                            <w:pPr>
                              <w:jc w:val="center"/>
                              <w:rPr>
                                <w:b/>
                                <w:bCs/>
                                <w:sz w:val="32"/>
                                <w:szCs w:val="32"/>
                              </w:rPr>
                            </w:pPr>
                            <w:r w:rsidRPr="00652B3C">
                              <w:rPr>
                                <w:b/>
                                <w:bCs/>
                                <w:sz w:val="32"/>
                                <w:szCs w:val="32"/>
                              </w:rPr>
                              <w:t>T.C.</w:t>
                            </w:r>
                          </w:p>
                          <w:p w:rsidR="0021225D" w:rsidRPr="00652B3C" w:rsidRDefault="0021225D" w:rsidP="00652B3C">
                            <w:pPr>
                              <w:jc w:val="center"/>
                              <w:rPr>
                                <w:b/>
                                <w:bCs/>
                                <w:sz w:val="32"/>
                                <w:szCs w:val="32"/>
                              </w:rPr>
                            </w:pPr>
                            <w:r>
                              <w:rPr>
                                <w:b/>
                                <w:bCs/>
                                <w:sz w:val="32"/>
                                <w:szCs w:val="32"/>
                              </w:rPr>
                              <w:t>TİCARET</w:t>
                            </w:r>
                            <w:r w:rsidRPr="00652B3C">
                              <w:rPr>
                                <w:b/>
                                <w:bCs/>
                                <w:sz w:val="32"/>
                                <w:szCs w:val="32"/>
                              </w:rPr>
                              <w:t xml:space="preserve"> BAKANLIĞI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FE3BE" id="_x0000_t202" coordsize="21600,21600" o:spt="202" path="m,l,21600r21600,l21600,xe">
                <v:stroke joinstyle="miter"/>
                <v:path gradientshapeok="t" o:connecttype="rect"/>
              </v:shapetype>
              <v:shape id="Metin Kutusu 2" o:spid="_x0000_s1026" type="#_x0000_t202" style="position:absolute;left:0;text-align:left;margin-left:0;margin-top:14.2pt;width:7in;height:130.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" strokecolor="white">
                <v:textbox>
                  <w:txbxContent>
                    <w:p w:rsidR="0021225D" w:rsidRPr="00652B3C" w:rsidRDefault="0021225D" w:rsidP="00652B3C">
                      <w:pPr>
                        <w:jc w:val="center"/>
                        <w:rPr>
                          <w:b/>
                          <w:bCs/>
                          <w:sz w:val="32"/>
                          <w:szCs w:val="32"/>
                        </w:rPr>
                      </w:pPr>
                      <w:r w:rsidRPr="00652B3C">
                        <w:rPr>
                          <w:b/>
                          <w:bCs/>
                          <w:sz w:val="32"/>
                          <w:szCs w:val="32"/>
                        </w:rPr>
                        <w:t>T.C.</w:t>
                      </w:r>
                    </w:p>
                    <w:p w:rsidR="0021225D" w:rsidRPr="00652B3C" w:rsidRDefault="0021225D" w:rsidP="00652B3C">
                      <w:pPr>
                        <w:jc w:val="center"/>
                        <w:rPr>
                          <w:b/>
                          <w:bCs/>
                          <w:sz w:val="32"/>
                          <w:szCs w:val="32"/>
                        </w:rPr>
                      </w:pPr>
                      <w:r>
                        <w:rPr>
                          <w:b/>
                          <w:bCs/>
                          <w:sz w:val="32"/>
                          <w:szCs w:val="32"/>
                        </w:rPr>
                        <w:t>TİCARET</w:t>
                      </w:r>
                      <w:r w:rsidRPr="00652B3C">
                        <w:rPr>
                          <w:b/>
                          <w:bCs/>
                          <w:sz w:val="32"/>
                          <w:szCs w:val="32"/>
                        </w:rPr>
                        <w:t xml:space="preserve"> BAKANLIĞI</w:t>
                      </w:r>
                    </w:p>
                  </w:txbxContent>
                </v:textbox>
                <w10:wrap type="topAndBottom" anchorx="margin"/>
              </v:shape>
            </w:pict>
          </mc:Fallback>
        </mc:AlternateContent>
      </w:r>
      <w:r>
        <w:rPr>
          <w:noProof/>
          <w:lang w:eastAsia="tr-TR"/>
        </w:rPr>
        <mc:AlternateContent>
          <mc:Choice Requires="wps">
            <w:drawing>
              <wp:anchor distT="4294967294" distB="4294967294" distL="114300" distR="114300" simplePos="0" relativeHeight="251660288" behindDoc="0" locked="0" layoutInCell="1" allowOverlap="1" wp14:anchorId="543E2FEE">
                <wp:simplePos x="0" y="0"/>
                <wp:positionH relativeFrom="page">
                  <wp:posOffset>922655</wp:posOffset>
                </wp:positionH>
                <wp:positionV relativeFrom="paragraph">
                  <wp:posOffset>796924</wp:posOffset>
                </wp:positionV>
                <wp:extent cx="6057900" cy="0"/>
                <wp:effectExtent l="0" t="1905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3125D" id="Düz Bağlayıcı 5"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72.65pt,62.75pt" to="549.6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" strokecolor="navy" strokeweight="4.5pt">
                <v:stroke linestyle="thinThick"/>
                <w10:wrap anchorx="page"/>
              </v:line>
            </w:pict>
          </mc:Fallback>
        </mc:AlternateContent>
      </w:r>
    </w:p>
    <w:p w:rsidR="00652B3C" w:rsidRDefault="00652B3C" w:rsidP="00BE41A3">
      <w:pPr>
        <w:ind w:firstLine="709"/>
        <w:jc w:val="center"/>
        <w:rPr>
          <w:b/>
          <w:sz w:val="44"/>
          <w:szCs w:val="44"/>
        </w:rPr>
      </w:pPr>
    </w:p>
    <w:p w:rsidR="00530905" w:rsidRDefault="00530905" w:rsidP="00BE41A3">
      <w:pPr>
        <w:ind w:firstLine="709"/>
        <w:jc w:val="center"/>
        <w:rPr>
          <w:b/>
          <w:sz w:val="44"/>
          <w:szCs w:val="44"/>
        </w:rPr>
      </w:pPr>
    </w:p>
    <w:p w:rsidR="00530905" w:rsidRDefault="00530905" w:rsidP="00BE41A3">
      <w:pPr>
        <w:ind w:firstLine="709"/>
        <w:jc w:val="center"/>
        <w:rPr>
          <w:b/>
          <w:sz w:val="44"/>
          <w:szCs w:val="44"/>
        </w:rPr>
      </w:pPr>
    </w:p>
    <w:p w:rsidR="00530905" w:rsidRDefault="00530905" w:rsidP="00BE41A3">
      <w:pPr>
        <w:ind w:firstLine="709"/>
        <w:jc w:val="center"/>
        <w:rPr>
          <w:b/>
          <w:sz w:val="44"/>
          <w:szCs w:val="44"/>
        </w:rPr>
      </w:pPr>
    </w:p>
    <w:p w:rsidR="00652B3C" w:rsidRDefault="00652B3C" w:rsidP="00BE41A3">
      <w:pPr>
        <w:ind w:firstLine="709"/>
        <w:jc w:val="center"/>
        <w:rPr>
          <w:b/>
          <w:sz w:val="44"/>
          <w:szCs w:val="44"/>
        </w:rPr>
      </w:pPr>
    </w:p>
    <w:p w:rsidR="00652B3C" w:rsidRPr="00652B3C" w:rsidRDefault="00652B3C" w:rsidP="00BE41A3">
      <w:pPr>
        <w:ind w:firstLine="709"/>
        <w:jc w:val="center"/>
        <w:rPr>
          <w:b/>
          <w:color w:val="002060"/>
          <w:sz w:val="48"/>
          <w:szCs w:val="48"/>
        </w:rPr>
      </w:pPr>
      <w:r w:rsidRPr="00652B3C">
        <w:rPr>
          <w:b/>
          <w:color w:val="002060"/>
          <w:sz w:val="48"/>
          <w:szCs w:val="48"/>
        </w:rPr>
        <w:t>PİYASA GÖZETİMİ VE DENETİMİ</w:t>
      </w:r>
    </w:p>
    <w:p w:rsidR="00652B3C" w:rsidRPr="00652B3C" w:rsidRDefault="00652B3C" w:rsidP="00BE41A3">
      <w:pPr>
        <w:ind w:firstLine="709"/>
        <w:jc w:val="center"/>
        <w:rPr>
          <w:b/>
          <w:color w:val="002060"/>
          <w:sz w:val="72"/>
          <w:szCs w:val="72"/>
        </w:rPr>
      </w:pPr>
    </w:p>
    <w:p w:rsidR="00652B3C" w:rsidRDefault="00D752C7" w:rsidP="00BE41A3">
      <w:pPr>
        <w:ind w:firstLine="709"/>
        <w:jc w:val="center"/>
        <w:rPr>
          <w:b/>
          <w:color w:val="002060"/>
          <w:sz w:val="72"/>
          <w:szCs w:val="72"/>
        </w:rPr>
      </w:pPr>
      <w:r w:rsidRPr="00584C14">
        <w:rPr>
          <w:b/>
          <w:color w:val="002060"/>
          <w:sz w:val="72"/>
          <w:szCs w:val="72"/>
        </w:rPr>
        <w:t>201</w:t>
      </w:r>
      <w:r w:rsidR="007210F3" w:rsidRPr="00584C14">
        <w:rPr>
          <w:b/>
          <w:color w:val="002060"/>
          <w:sz w:val="72"/>
          <w:szCs w:val="72"/>
        </w:rPr>
        <w:t>9</w:t>
      </w:r>
      <w:r w:rsidR="00D31718">
        <w:rPr>
          <w:b/>
          <w:color w:val="002060"/>
          <w:sz w:val="72"/>
          <w:szCs w:val="72"/>
        </w:rPr>
        <w:t xml:space="preserve"> </w:t>
      </w:r>
      <w:r w:rsidR="00652B3C" w:rsidRPr="00652B3C">
        <w:rPr>
          <w:b/>
          <w:color w:val="002060"/>
          <w:sz w:val="72"/>
          <w:szCs w:val="72"/>
        </w:rPr>
        <w:t>YILI RAPORU</w:t>
      </w:r>
    </w:p>
    <w:p w:rsidR="00652B3C" w:rsidRPr="00652B3C" w:rsidRDefault="00652B3C" w:rsidP="00BE41A3">
      <w:pPr>
        <w:ind w:firstLine="709"/>
        <w:jc w:val="center"/>
        <w:rPr>
          <w:b/>
          <w:color w:val="002060"/>
          <w:sz w:val="44"/>
          <w:szCs w:val="44"/>
        </w:rPr>
      </w:pPr>
    </w:p>
    <w:p w:rsidR="00652B3C" w:rsidRDefault="00652B3C" w:rsidP="00BE41A3">
      <w:pPr>
        <w:ind w:firstLine="709"/>
        <w:rPr>
          <w:color w:val="000000" w:themeColor="text1"/>
        </w:rPr>
      </w:pPr>
    </w:p>
    <w:p w:rsidR="00652B3C" w:rsidRDefault="00652B3C" w:rsidP="00BE41A3">
      <w:pPr>
        <w:ind w:firstLine="709"/>
        <w:rPr>
          <w:color w:val="000000" w:themeColor="text1"/>
        </w:rPr>
      </w:pPr>
    </w:p>
    <w:p w:rsidR="00652B3C" w:rsidRDefault="00652B3C" w:rsidP="00BE41A3">
      <w:pPr>
        <w:ind w:firstLine="709"/>
        <w:rPr>
          <w:color w:val="000000" w:themeColor="text1"/>
        </w:rPr>
      </w:pPr>
    </w:p>
    <w:p w:rsidR="00652B3C" w:rsidRDefault="00652B3C" w:rsidP="00BE41A3">
      <w:pPr>
        <w:ind w:firstLine="709"/>
        <w:rPr>
          <w:color w:val="000000" w:themeColor="text1"/>
        </w:rPr>
      </w:pPr>
    </w:p>
    <w:p w:rsidR="00652B3C" w:rsidRDefault="00652B3C" w:rsidP="00BE41A3">
      <w:pPr>
        <w:ind w:firstLine="709"/>
        <w:rPr>
          <w:color w:val="000000" w:themeColor="text1"/>
        </w:rPr>
      </w:pPr>
    </w:p>
    <w:p w:rsidR="00652B3C" w:rsidRDefault="00652B3C" w:rsidP="00BE41A3">
      <w:pPr>
        <w:ind w:firstLine="709"/>
        <w:rPr>
          <w:color w:val="000000" w:themeColor="text1"/>
        </w:rPr>
      </w:pPr>
    </w:p>
    <w:p w:rsidR="00652B3C" w:rsidRDefault="00652B3C" w:rsidP="00BE41A3">
      <w:pPr>
        <w:ind w:firstLine="709"/>
        <w:rPr>
          <w:color w:val="000000" w:themeColor="text1"/>
        </w:rPr>
      </w:pPr>
    </w:p>
    <w:p w:rsidR="00652B3C" w:rsidRDefault="00652B3C" w:rsidP="00BE41A3">
      <w:pPr>
        <w:ind w:firstLine="709"/>
        <w:rPr>
          <w:color w:val="000000" w:themeColor="text1"/>
        </w:rPr>
      </w:pPr>
    </w:p>
    <w:sdt>
      <w:sdtPr>
        <w:rPr>
          <w:rFonts w:ascii="Times New Roman" w:eastAsia="Times New Roman" w:hAnsi="Times New Roman" w:cs="Times New Roman"/>
          <w:color w:val="000000" w:themeColor="text1"/>
          <w:sz w:val="24"/>
          <w:szCs w:val="24"/>
          <w:lang w:eastAsia="en-US"/>
        </w:rPr>
        <w:id w:val="-578131703"/>
        <w:docPartObj>
          <w:docPartGallery w:val="Table of Contents"/>
          <w:docPartUnique/>
        </w:docPartObj>
      </w:sdtPr>
      <w:sdtEndPr>
        <w:rPr>
          <w:bCs/>
        </w:rPr>
      </w:sdtEndPr>
      <w:sdtContent>
        <w:p w:rsidR="00652B3C" w:rsidRPr="000554FC" w:rsidRDefault="00652B3C" w:rsidP="00BE41A3">
          <w:pPr>
            <w:pStyle w:val="TBal"/>
            <w:ind w:firstLine="709"/>
            <w:rPr>
              <w:rFonts w:ascii="Times New Roman" w:hAnsi="Times New Roman" w:cs="Times New Roman"/>
              <w:color w:val="000000" w:themeColor="text1"/>
            </w:rPr>
          </w:pPr>
          <w:r w:rsidRPr="000554FC">
            <w:rPr>
              <w:rFonts w:ascii="Times New Roman" w:hAnsi="Times New Roman" w:cs="Times New Roman"/>
              <w:b/>
              <w:color w:val="000000" w:themeColor="text1"/>
            </w:rPr>
            <w:t>İçindekiler</w:t>
          </w:r>
        </w:p>
        <w:p w:rsidR="006C7AFD" w:rsidRDefault="00A256DE" w:rsidP="0095406E">
          <w:pPr>
            <w:pStyle w:val="T1"/>
            <w:rPr>
              <w:rFonts w:cstheme="minorBidi"/>
              <w:noProof/>
            </w:rPr>
          </w:pPr>
          <w:r w:rsidRPr="00E619EB">
            <w:rPr>
              <w:rFonts w:ascii="Times New Roman" w:hAnsi="Times New Roman"/>
              <w:color w:val="000000" w:themeColor="text1"/>
            </w:rPr>
            <w:fldChar w:fldCharType="begin"/>
          </w:r>
          <w:r w:rsidR="00652B3C" w:rsidRPr="00E619EB">
            <w:rPr>
              <w:rFonts w:ascii="Times New Roman" w:hAnsi="Times New Roman"/>
              <w:color w:val="000000" w:themeColor="text1"/>
            </w:rPr>
            <w:instrText xml:space="preserve"> TOC \o "1-3" \h \z \u </w:instrText>
          </w:r>
          <w:r w:rsidRPr="00E619EB">
            <w:rPr>
              <w:rFonts w:ascii="Times New Roman" w:hAnsi="Times New Roman"/>
              <w:color w:val="000000" w:themeColor="text1"/>
            </w:rPr>
            <w:fldChar w:fldCharType="separate"/>
          </w:r>
          <w:hyperlink w:anchor="_Toc4892855" w:history="1">
            <w:r w:rsidR="006C7AFD" w:rsidRPr="00DB06E2">
              <w:rPr>
                <w:rStyle w:val="Kpr"/>
                <w:noProof/>
              </w:rPr>
              <w:t>I. GİRİŞ</w:t>
            </w:r>
            <w:r w:rsidR="006C7AFD">
              <w:rPr>
                <w:noProof/>
                <w:webHidden/>
              </w:rPr>
              <w:tab/>
            </w:r>
            <w:r>
              <w:rPr>
                <w:noProof/>
                <w:webHidden/>
              </w:rPr>
              <w:fldChar w:fldCharType="begin"/>
            </w:r>
            <w:r w:rsidR="006C7AFD">
              <w:rPr>
                <w:noProof/>
                <w:webHidden/>
              </w:rPr>
              <w:instrText xml:space="preserve"> PAGEREF _Toc4892855 \h </w:instrText>
            </w:r>
            <w:r>
              <w:rPr>
                <w:noProof/>
                <w:webHidden/>
              </w:rPr>
            </w:r>
            <w:r>
              <w:rPr>
                <w:noProof/>
                <w:webHidden/>
              </w:rPr>
              <w:fldChar w:fldCharType="separate"/>
            </w:r>
            <w:r w:rsidR="006C7AFD">
              <w:rPr>
                <w:noProof/>
                <w:webHidden/>
              </w:rPr>
              <w:t>4</w:t>
            </w:r>
            <w:r>
              <w:rPr>
                <w:noProof/>
                <w:webHidden/>
              </w:rPr>
              <w:fldChar w:fldCharType="end"/>
            </w:r>
          </w:hyperlink>
        </w:p>
        <w:p w:rsidR="006C7AFD" w:rsidRDefault="0021225D" w:rsidP="0095406E">
          <w:pPr>
            <w:pStyle w:val="T1"/>
            <w:rPr>
              <w:rFonts w:cstheme="minorBidi"/>
              <w:noProof/>
            </w:rPr>
          </w:pPr>
          <w:hyperlink w:anchor="_Toc4892856" w:history="1">
            <w:r w:rsidR="006C7AFD" w:rsidRPr="00DB06E2">
              <w:rPr>
                <w:rStyle w:val="Kpr"/>
                <w:noProof/>
              </w:rPr>
              <w:t>II. 201</w:t>
            </w:r>
            <w:r w:rsidR="006A5EBC">
              <w:rPr>
                <w:rStyle w:val="Kpr"/>
                <w:noProof/>
              </w:rPr>
              <w:t xml:space="preserve">9 </w:t>
            </w:r>
            <w:r w:rsidR="006C7AFD" w:rsidRPr="00DB06E2">
              <w:rPr>
                <w:rStyle w:val="Kpr"/>
                <w:noProof/>
              </w:rPr>
              <w:t>YILINDA PGD ALANINDA KAYDEDİLEN ÖNEMLİ GELİŞMELER</w:t>
            </w:r>
            <w:r w:rsidR="006C7AFD">
              <w:rPr>
                <w:noProof/>
                <w:webHidden/>
              </w:rPr>
              <w:tab/>
            </w:r>
            <w:r w:rsidR="00A256DE">
              <w:rPr>
                <w:noProof/>
                <w:webHidden/>
              </w:rPr>
              <w:fldChar w:fldCharType="begin"/>
            </w:r>
            <w:r w:rsidR="006C7AFD">
              <w:rPr>
                <w:noProof/>
                <w:webHidden/>
              </w:rPr>
              <w:instrText xml:space="preserve"> PAGEREF _Toc4892856 \h </w:instrText>
            </w:r>
            <w:r w:rsidR="00A256DE">
              <w:rPr>
                <w:noProof/>
                <w:webHidden/>
              </w:rPr>
            </w:r>
            <w:r w:rsidR="00A256DE">
              <w:rPr>
                <w:noProof/>
                <w:webHidden/>
              </w:rPr>
              <w:fldChar w:fldCharType="separate"/>
            </w:r>
            <w:r w:rsidR="006C7AFD">
              <w:rPr>
                <w:noProof/>
                <w:webHidden/>
              </w:rPr>
              <w:t>7</w:t>
            </w:r>
            <w:r w:rsidR="00A256DE">
              <w:rPr>
                <w:noProof/>
                <w:webHidden/>
              </w:rPr>
              <w:fldChar w:fldCharType="end"/>
            </w:r>
          </w:hyperlink>
        </w:p>
        <w:p w:rsidR="006C7AFD" w:rsidRDefault="0021225D" w:rsidP="0095406E">
          <w:pPr>
            <w:pStyle w:val="T1"/>
            <w:rPr>
              <w:rFonts w:cstheme="minorBidi"/>
              <w:noProof/>
            </w:rPr>
          </w:pPr>
          <w:hyperlink w:anchor="_Toc4892857" w:history="1">
            <w:r w:rsidR="006C7AFD" w:rsidRPr="00DB06E2">
              <w:rPr>
                <w:rStyle w:val="Kpr"/>
                <w:noProof/>
              </w:rPr>
              <w:t>III. TÜRKİYE’DE PGD’NİN YILLARA GÖRE GELİŞİMİ</w:t>
            </w:r>
            <w:r w:rsidR="006C7AFD">
              <w:rPr>
                <w:noProof/>
                <w:webHidden/>
              </w:rPr>
              <w:tab/>
            </w:r>
            <w:r w:rsidR="00A256DE">
              <w:rPr>
                <w:noProof/>
                <w:webHidden/>
              </w:rPr>
              <w:fldChar w:fldCharType="begin"/>
            </w:r>
            <w:r w:rsidR="006C7AFD">
              <w:rPr>
                <w:noProof/>
                <w:webHidden/>
              </w:rPr>
              <w:instrText xml:space="preserve"> PAGEREF _Toc4892857 \h </w:instrText>
            </w:r>
            <w:r w:rsidR="00A256DE">
              <w:rPr>
                <w:noProof/>
                <w:webHidden/>
              </w:rPr>
            </w:r>
            <w:r w:rsidR="00A256DE">
              <w:rPr>
                <w:noProof/>
                <w:webHidden/>
              </w:rPr>
              <w:fldChar w:fldCharType="separate"/>
            </w:r>
            <w:r w:rsidR="006C7AFD">
              <w:rPr>
                <w:noProof/>
                <w:webHidden/>
              </w:rPr>
              <w:t>8</w:t>
            </w:r>
            <w:r w:rsidR="00A256DE">
              <w:rPr>
                <w:noProof/>
                <w:webHidden/>
              </w:rPr>
              <w:fldChar w:fldCharType="end"/>
            </w:r>
          </w:hyperlink>
        </w:p>
        <w:p w:rsidR="006C7AFD" w:rsidRDefault="0021225D" w:rsidP="00AA15FA">
          <w:pPr>
            <w:pStyle w:val="T1"/>
            <w:rPr>
              <w:rFonts w:cstheme="minorBidi"/>
              <w:noProof/>
            </w:rPr>
          </w:pPr>
          <w:hyperlink w:anchor="_Toc4892858" w:history="1">
            <w:r w:rsidR="006C7AFD" w:rsidRPr="00DB06E2">
              <w:rPr>
                <w:rStyle w:val="Kpr"/>
                <w:noProof/>
              </w:rPr>
              <w:t>1.</w:t>
            </w:r>
            <w:r w:rsidR="006C7AFD">
              <w:rPr>
                <w:rFonts w:cstheme="minorBidi"/>
                <w:noProof/>
              </w:rPr>
              <w:tab/>
            </w:r>
            <w:r w:rsidR="006C7AFD" w:rsidRPr="00DB06E2">
              <w:rPr>
                <w:rStyle w:val="Kpr"/>
                <w:noProof/>
              </w:rPr>
              <w:t>KAYNAKLARDAKİ DEĞİŞİMİN DENETİMLERE ETKİSİ</w:t>
            </w:r>
            <w:r w:rsidR="006C7AFD">
              <w:rPr>
                <w:noProof/>
                <w:webHidden/>
              </w:rPr>
              <w:tab/>
            </w:r>
            <w:r w:rsidR="00A256DE">
              <w:rPr>
                <w:noProof/>
                <w:webHidden/>
              </w:rPr>
              <w:fldChar w:fldCharType="begin"/>
            </w:r>
            <w:r w:rsidR="006C7AFD">
              <w:rPr>
                <w:noProof/>
                <w:webHidden/>
              </w:rPr>
              <w:instrText xml:space="preserve"> PAGEREF _Toc4892858 \h </w:instrText>
            </w:r>
            <w:r w:rsidR="00A256DE">
              <w:rPr>
                <w:noProof/>
                <w:webHidden/>
              </w:rPr>
            </w:r>
            <w:r w:rsidR="00A256DE">
              <w:rPr>
                <w:noProof/>
                <w:webHidden/>
              </w:rPr>
              <w:fldChar w:fldCharType="separate"/>
            </w:r>
            <w:r w:rsidR="006C7AFD">
              <w:rPr>
                <w:noProof/>
                <w:webHidden/>
              </w:rPr>
              <w:t>8</w:t>
            </w:r>
            <w:r w:rsidR="00A256DE">
              <w:rPr>
                <w:noProof/>
                <w:webHidden/>
              </w:rPr>
              <w:fldChar w:fldCharType="end"/>
            </w:r>
          </w:hyperlink>
        </w:p>
        <w:p w:rsidR="006C7AFD" w:rsidRDefault="0021225D">
          <w:pPr>
            <w:pStyle w:val="T2"/>
            <w:rPr>
              <w:rFonts w:cstheme="minorBidi"/>
              <w:noProof/>
            </w:rPr>
          </w:pPr>
          <w:hyperlink w:anchor="_Toc4892859" w:history="1">
            <w:r w:rsidR="006C7AFD" w:rsidRPr="00DB06E2">
              <w:rPr>
                <w:rStyle w:val="Kpr"/>
                <w:noProof/>
              </w:rPr>
              <w:t>2.</w:t>
            </w:r>
            <w:r w:rsidR="006C7AFD">
              <w:rPr>
                <w:rFonts w:cstheme="minorBidi"/>
                <w:noProof/>
              </w:rPr>
              <w:tab/>
            </w:r>
            <w:r w:rsidR="006C7AFD" w:rsidRPr="00DB06E2">
              <w:rPr>
                <w:rStyle w:val="Kpr"/>
                <w:noProof/>
              </w:rPr>
              <w:t>DENETİM PERSONELİNİN PERFORMANSI</w:t>
            </w:r>
            <w:r w:rsidR="006C7AFD">
              <w:rPr>
                <w:noProof/>
                <w:webHidden/>
              </w:rPr>
              <w:tab/>
            </w:r>
            <w:r w:rsidR="00A256DE">
              <w:rPr>
                <w:noProof/>
                <w:webHidden/>
              </w:rPr>
              <w:fldChar w:fldCharType="begin"/>
            </w:r>
            <w:r w:rsidR="006C7AFD">
              <w:rPr>
                <w:noProof/>
                <w:webHidden/>
              </w:rPr>
              <w:instrText xml:space="preserve"> PAGEREF _Toc4892859 \h </w:instrText>
            </w:r>
            <w:r w:rsidR="00A256DE">
              <w:rPr>
                <w:noProof/>
                <w:webHidden/>
              </w:rPr>
            </w:r>
            <w:r w:rsidR="00A256DE">
              <w:rPr>
                <w:noProof/>
                <w:webHidden/>
              </w:rPr>
              <w:fldChar w:fldCharType="separate"/>
            </w:r>
            <w:r w:rsidR="006C7AFD">
              <w:rPr>
                <w:noProof/>
                <w:webHidden/>
              </w:rPr>
              <w:t>1</w:t>
            </w:r>
            <w:r w:rsidR="00A256DE">
              <w:rPr>
                <w:noProof/>
                <w:webHidden/>
              </w:rPr>
              <w:fldChar w:fldCharType="end"/>
            </w:r>
          </w:hyperlink>
          <w:r w:rsidR="001F1A70">
            <w:rPr>
              <w:noProof/>
            </w:rPr>
            <w:t>1</w:t>
          </w:r>
        </w:p>
        <w:p w:rsidR="006C7AFD" w:rsidRDefault="0021225D" w:rsidP="00AA15FA">
          <w:pPr>
            <w:pStyle w:val="T1"/>
            <w:rPr>
              <w:rFonts w:cstheme="minorBidi"/>
              <w:noProof/>
            </w:rPr>
          </w:pPr>
          <w:hyperlink w:anchor="_Toc4892860" w:history="1">
            <w:r w:rsidR="006C7AFD" w:rsidRPr="00DB06E2">
              <w:rPr>
                <w:rStyle w:val="Kpr"/>
                <w:noProof/>
              </w:rPr>
              <w:t>3.</w:t>
            </w:r>
            <w:r w:rsidR="006C7AFD">
              <w:rPr>
                <w:rFonts w:cstheme="minorBidi"/>
                <w:noProof/>
              </w:rPr>
              <w:tab/>
            </w:r>
            <w:r w:rsidR="006C7AFD" w:rsidRPr="00DB06E2">
              <w:rPr>
                <w:rStyle w:val="Kpr"/>
                <w:noProof/>
              </w:rPr>
              <w:t>DENETİMLERİN YÖNLENDİRİLMESİ</w:t>
            </w:r>
            <w:r w:rsidR="006C7AFD">
              <w:rPr>
                <w:noProof/>
                <w:webHidden/>
              </w:rPr>
              <w:tab/>
            </w:r>
            <w:r w:rsidR="00A256DE">
              <w:rPr>
                <w:noProof/>
                <w:webHidden/>
              </w:rPr>
              <w:fldChar w:fldCharType="begin"/>
            </w:r>
            <w:r w:rsidR="006C7AFD">
              <w:rPr>
                <w:noProof/>
                <w:webHidden/>
              </w:rPr>
              <w:instrText xml:space="preserve"> PAGEREF _Toc4892860 \h </w:instrText>
            </w:r>
            <w:r w:rsidR="00A256DE">
              <w:rPr>
                <w:noProof/>
                <w:webHidden/>
              </w:rPr>
            </w:r>
            <w:r w:rsidR="00A256DE">
              <w:rPr>
                <w:noProof/>
                <w:webHidden/>
              </w:rPr>
              <w:fldChar w:fldCharType="separate"/>
            </w:r>
            <w:r w:rsidR="006C7AFD">
              <w:rPr>
                <w:noProof/>
                <w:webHidden/>
              </w:rPr>
              <w:t>13</w:t>
            </w:r>
            <w:r w:rsidR="00A256DE">
              <w:rPr>
                <w:noProof/>
                <w:webHidden/>
              </w:rPr>
              <w:fldChar w:fldCharType="end"/>
            </w:r>
          </w:hyperlink>
        </w:p>
        <w:p w:rsidR="006C7AFD" w:rsidRDefault="0021225D">
          <w:pPr>
            <w:pStyle w:val="T2"/>
            <w:rPr>
              <w:rFonts w:cstheme="minorBidi"/>
              <w:noProof/>
            </w:rPr>
          </w:pPr>
          <w:hyperlink w:anchor="_Toc4892861" w:history="1">
            <w:r w:rsidR="006C7AFD" w:rsidRPr="00DB06E2">
              <w:rPr>
                <w:rStyle w:val="Kpr"/>
                <w:noProof/>
              </w:rPr>
              <w:t>A.</w:t>
            </w:r>
            <w:r w:rsidR="006C7AFD">
              <w:rPr>
                <w:rFonts w:cstheme="minorBidi"/>
                <w:noProof/>
              </w:rPr>
              <w:tab/>
            </w:r>
            <w:r w:rsidR="006C7AFD" w:rsidRPr="00DB06E2">
              <w:rPr>
                <w:rStyle w:val="Kpr"/>
                <w:noProof/>
              </w:rPr>
              <w:t>ŞİKÂYET/İHBAR ÜZERİNE DENETİMLER</w:t>
            </w:r>
            <w:r w:rsidR="006C7AFD">
              <w:rPr>
                <w:noProof/>
                <w:webHidden/>
              </w:rPr>
              <w:tab/>
            </w:r>
            <w:r w:rsidR="00A256DE">
              <w:rPr>
                <w:noProof/>
                <w:webHidden/>
              </w:rPr>
              <w:fldChar w:fldCharType="begin"/>
            </w:r>
            <w:r w:rsidR="006C7AFD">
              <w:rPr>
                <w:noProof/>
                <w:webHidden/>
              </w:rPr>
              <w:instrText xml:space="preserve"> PAGEREF _Toc4892861 \h </w:instrText>
            </w:r>
            <w:r w:rsidR="00A256DE">
              <w:rPr>
                <w:noProof/>
                <w:webHidden/>
              </w:rPr>
            </w:r>
            <w:r w:rsidR="00A256DE">
              <w:rPr>
                <w:noProof/>
                <w:webHidden/>
              </w:rPr>
              <w:fldChar w:fldCharType="separate"/>
            </w:r>
            <w:r w:rsidR="006C7AFD">
              <w:rPr>
                <w:noProof/>
                <w:webHidden/>
              </w:rPr>
              <w:t>13</w:t>
            </w:r>
            <w:r w:rsidR="00A256DE">
              <w:rPr>
                <w:noProof/>
                <w:webHidden/>
              </w:rPr>
              <w:fldChar w:fldCharType="end"/>
            </w:r>
          </w:hyperlink>
        </w:p>
        <w:p w:rsidR="006C7AFD" w:rsidRDefault="0021225D">
          <w:pPr>
            <w:pStyle w:val="T2"/>
            <w:rPr>
              <w:rFonts w:cstheme="minorBidi"/>
              <w:noProof/>
            </w:rPr>
          </w:pPr>
          <w:hyperlink w:anchor="_Toc4892862" w:history="1">
            <w:r w:rsidR="006C7AFD" w:rsidRPr="00DB06E2">
              <w:rPr>
                <w:rStyle w:val="Kpr"/>
                <w:noProof/>
              </w:rPr>
              <w:t>B. İNTERNET SATIŞLARINA YÖNELİK DENETİMLER</w:t>
            </w:r>
            <w:r w:rsidR="006C7AFD">
              <w:rPr>
                <w:noProof/>
                <w:webHidden/>
              </w:rPr>
              <w:tab/>
            </w:r>
            <w:r w:rsidR="00A256DE">
              <w:rPr>
                <w:noProof/>
                <w:webHidden/>
              </w:rPr>
              <w:fldChar w:fldCharType="begin"/>
            </w:r>
            <w:r w:rsidR="006C7AFD">
              <w:rPr>
                <w:noProof/>
                <w:webHidden/>
              </w:rPr>
              <w:instrText xml:space="preserve"> PAGEREF _Toc4892862 \h </w:instrText>
            </w:r>
            <w:r w:rsidR="00A256DE">
              <w:rPr>
                <w:noProof/>
                <w:webHidden/>
              </w:rPr>
            </w:r>
            <w:r w:rsidR="00A256DE">
              <w:rPr>
                <w:noProof/>
                <w:webHidden/>
              </w:rPr>
              <w:fldChar w:fldCharType="separate"/>
            </w:r>
            <w:r w:rsidR="006C7AFD">
              <w:rPr>
                <w:noProof/>
                <w:webHidden/>
              </w:rPr>
              <w:t>16</w:t>
            </w:r>
            <w:r w:rsidR="00A256DE">
              <w:rPr>
                <w:noProof/>
                <w:webHidden/>
              </w:rPr>
              <w:fldChar w:fldCharType="end"/>
            </w:r>
          </w:hyperlink>
        </w:p>
        <w:p w:rsidR="006C7AFD" w:rsidRDefault="0021225D">
          <w:pPr>
            <w:pStyle w:val="T2"/>
            <w:rPr>
              <w:rFonts w:cstheme="minorBidi"/>
              <w:noProof/>
            </w:rPr>
          </w:pPr>
          <w:hyperlink w:anchor="_Toc4892863" w:history="1">
            <w:r w:rsidR="006C7AFD" w:rsidRPr="00DB06E2">
              <w:rPr>
                <w:rStyle w:val="Kpr"/>
                <w:noProof/>
              </w:rPr>
              <w:t>C. KAZA/YARALANMA VERİLERİ ÜZERİNE DENETİMLER</w:t>
            </w:r>
            <w:r w:rsidR="006C7AFD">
              <w:rPr>
                <w:noProof/>
                <w:webHidden/>
              </w:rPr>
              <w:tab/>
            </w:r>
            <w:r w:rsidR="00A256DE">
              <w:rPr>
                <w:noProof/>
                <w:webHidden/>
              </w:rPr>
              <w:fldChar w:fldCharType="begin"/>
            </w:r>
            <w:r w:rsidR="006C7AFD">
              <w:rPr>
                <w:noProof/>
                <w:webHidden/>
              </w:rPr>
              <w:instrText xml:space="preserve"> PAGEREF _Toc4892863 \h </w:instrText>
            </w:r>
            <w:r w:rsidR="00A256DE">
              <w:rPr>
                <w:noProof/>
                <w:webHidden/>
              </w:rPr>
            </w:r>
            <w:r w:rsidR="00A256DE">
              <w:rPr>
                <w:noProof/>
                <w:webHidden/>
              </w:rPr>
              <w:fldChar w:fldCharType="separate"/>
            </w:r>
            <w:r w:rsidR="006C7AFD">
              <w:rPr>
                <w:noProof/>
                <w:webHidden/>
              </w:rPr>
              <w:t>18</w:t>
            </w:r>
            <w:r w:rsidR="00A256DE">
              <w:rPr>
                <w:noProof/>
                <w:webHidden/>
              </w:rPr>
              <w:fldChar w:fldCharType="end"/>
            </w:r>
          </w:hyperlink>
        </w:p>
        <w:p w:rsidR="006C7AFD" w:rsidRPr="001F1A70" w:rsidRDefault="0021225D" w:rsidP="0095406E">
          <w:pPr>
            <w:pStyle w:val="T1"/>
            <w:rPr>
              <w:rFonts w:cstheme="minorBidi"/>
              <w:noProof/>
            </w:rPr>
          </w:pPr>
          <w:hyperlink w:anchor="_Toc4892864" w:history="1">
            <w:r w:rsidR="006C7AFD" w:rsidRPr="001F1A70">
              <w:rPr>
                <w:rStyle w:val="Kpr"/>
                <w:noProof/>
              </w:rPr>
              <w:t>4. DENETİM SONUÇLARI</w:t>
            </w:r>
            <w:r w:rsidR="006C7AFD" w:rsidRPr="001F1A70">
              <w:rPr>
                <w:noProof/>
                <w:webHidden/>
              </w:rPr>
              <w:tab/>
            </w:r>
            <w:r w:rsidR="00A256DE" w:rsidRPr="001F1A70">
              <w:rPr>
                <w:noProof/>
                <w:webHidden/>
              </w:rPr>
              <w:fldChar w:fldCharType="begin"/>
            </w:r>
            <w:r w:rsidR="006C7AFD" w:rsidRPr="001F1A70">
              <w:rPr>
                <w:noProof/>
                <w:webHidden/>
              </w:rPr>
              <w:instrText xml:space="preserve"> PAGEREF _Toc4892864 \h </w:instrText>
            </w:r>
            <w:r w:rsidR="00A256DE" w:rsidRPr="001F1A70">
              <w:rPr>
                <w:noProof/>
                <w:webHidden/>
              </w:rPr>
            </w:r>
            <w:r w:rsidR="00A256DE" w:rsidRPr="001F1A70">
              <w:rPr>
                <w:noProof/>
                <w:webHidden/>
              </w:rPr>
              <w:fldChar w:fldCharType="separate"/>
            </w:r>
            <w:r w:rsidR="006C7AFD" w:rsidRPr="001F1A70">
              <w:rPr>
                <w:noProof/>
                <w:webHidden/>
              </w:rPr>
              <w:t>19</w:t>
            </w:r>
            <w:r w:rsidR="00A256DE" w:rsidRPr="001F1A70">
              <w:rPr>
                <w:noProof/>
                <w:webHidden/>
              </w:rPr>
              <w:fldChar w:fldCharType="end"/>
            </w:r>
          </w:hyperlink>
        </w:p>
        <w:p w:rsidR="006C7AFD" w:rsidRPr="001F1A70" w:rsidRDefault="0021225D">
          <w:pPr>
            <w:pStyle w:val="T2"/>
            <w:rPr>
              <w:rFonts w:cstheme="minorBidi"/>
              <w:noProof/>
            </w:rPr>
          </w:pPr>
          <w:hyperlink w:anchor="_Toc4892865" w:history="1">
            <w:r w:rsidR="006C7AFD" w:rsidRPr="001F1A70">
              <w:rPr>
                <w:rStyle w:val="Kpr"/>
                <w:noProof/>
              </w:rPr>
              <w:t>A. DENETLENEN ÜRÜN PARTİ SAYILARI</w:t>
            </w:r>
            <w:r w:rsidR="006C7AFD" w:rsidRPr="001F1A70">
              <w:rPr>
                <w:noProof/>
                <w:webHidden/>
              </w:rPr>
              <w:tab/>
            </w:r>
            <w:r w:rsidR="00A256DE" w:rsidRPr="001F1A70">
              <w:rPr>
                <w:noProof/>
                <w:webHidden/>
              </w:rPr>
              <w:fldChar w:fldCharType="begin"/>
            </w:r>
            <w:r w:rsidR="006C7AFD" w:rsidRPr="001F1A70">
              <w:rPr>
                <w:noProof/>
                <w:webHidden/>
              </w:rPr>
              <w:instrText xml:space="preserve"> PAGEREF _Toc4892865 \h </w:instrText>
            </w:r>
            <w:r w:rsidR="00A256DE" w:rsidRPr="001F1A70">
              <w:rPr>
                <w:noProof/>
                <w:webHidden/>
              </w:rPr>
            </w:r>
            <w:r w:rsidR="00A256DE" w:rsidRPr="001F1A70">
              <w:rPr>
                <w:noProof/>
                <w:webHidden/>
              </w:rPr>
              <w:fldChar w:fldCharType="separate"/>
            </w:r>
            <w:r w:rsidR="006C7AFD" w:rsidRPr="001F1A70">
              <w:rPr>
                <w:noProof/>
                <w:webHidden/>
              </w:rPr>
              <w:t>19</w:t>
            </w:r>
            <w:r w:rsidR="00A256DE" w:rsidRPr="001F1A70">
              <w:rPr>
                <w:noProof/>
                <w:webHidden/>
              </w:rPr>
              <w:fldChar w:fldCharType="end"/>
            </w:r>
          </w:hyperlink>
        </w:p>
        <w:p w:rsidR="006C7AFD" w:rsidRPr="001F1A70" w:rsidRDefault="0021225D">
          <w:pPr>
            <w:pStyle w:val="T2"/>
            <w:rPr>
              <w:rFonts w:cstheme="minorBidi"/>
              <w:noProof/>
            </w:rPr>
          </w:pPr>
          <w:hyperlink w:anchor="_Toc4892866" w:history="1">
            <w:r w:rsidR="006C7AFD" w:rsidRPr="001F1A70">
              <w:rPr>
                <w:rStyle w:val="Kpr"/>
                <w:noProof/>
              </w:rPr>
              <w:t>B. UYGUNSUZ/GÜVENSİZ ÜRÜN PARTİ SAYILARI</w:t>
            </w:r>
            <w:r w:rsidR="006C7AFD" w:rsidRPr="001F1A70">
              <w:rPr>
                <w:noProof/>
                <w:webHidden/>
              </w:rPr>
              <w:tab/>
            </w:r>
            <w:r w:rsidR="00A256DE" w:rsidRPr="001F1A70">
              <w:rPr>
                <w:noProof/>
                <w:webHidden/>
              </w:rPr>
              <w:fldChar w:fldCharType="begin"/>
            </w:r>
            <w:r w:rsidR="006C7AFD" w:rsidRPr="001F1A70">
              <w:rPr>
                <w:noProof/>
                <w:webHidden/>
              </w:rPr>
              <w:instrText xml:space="preserve"> PAGEREF _Toc4892866 \h </w:instrText>
            </w:r>
            <w:r w:rsidR="00A256DE" w:rsidRPr="001F1A70">
              <w:rPr>
                <w:noProof/>
                <w:webHidden/>
              </w:rPr>
            </w:r>
            <w:r w:rsidR="00A256DE" w:rsidRPr="001F1A70">
              <w:rPr>
                <w:noProof/>
                <w:webHidden/>
              </w:rPr>
              <w:fldChar w:fldCharType="separate"/>
            </w:r>
            <w:r w:rsidR="006C7AFD" w:rsidRPr="001F1A70">
              <w:rPr>
                <w:noProof/>
                <w:webHidden/>
              </w:rPr>
              <w:t>22</w:t>
            </w:r>
            <w:r w:rsidR="00A256DE" w:rsidRPr="001F1A70">
              <w:rPr>
                <w:noProof/>
                <w:webHidden/>
              </w:rPr>
              <w:fldChar w:fldCharType="end"/>
            </w:r>
          </w:hyperlink>
        </w:p>
        <w:p w:rsidR="006C7AFD" w:rsidRPr="001F1A70" w:rsidRDefault="0021225D">
          <w:pPr>
            <w:pStyle w:val="T2"/>
            <w:rPr>
              <w:rFonts w:cstheme="minorBidi"/>
              <w:noProof/>
            </w:rPr>
          </w:pPr>
          <w:hyperlink w:anchor="_Toc4892867" w:history="1">
            <w:r w:rsidR="006C7AFD" w:rsidRPr="001F1A70">
              <w:rPr>
                <w:rStyle w:val="Kpr"/>
                <w:rFonts w:eastAsiaTheme="majorEastAsia" w:cstheme="majorBidi"/>
                <w:noProof/>
              </w:rPr>
              <w:t>C. İTHAL ÜRÜN/YERLİ ÜRÜN AYRIMI</w:t>
            </w:r>
            <w:r w:rsidR="006C7AFD" w:rsidRPr="001F1A70">
              <w:rPr>
                <w:noProof/>
                <w:webHidden/>
              </w:rPr>
              <w:tab/>
            </w:r>
            <w:r w:rsidR="00A256DE" w:rsidRPr="001F1A70">
              <w:rPr>
                <w:noProof/>
                <w:webHidden/>
              </w:rPr>
              <w:fldChar w:fldCharType="begin"/>
            </w:r>
            <w:r w:rsidR="006C7AFD" w:rsidRPr="001F1A70">
              <w:rPr>
                <w:noProof/>
                <w:webHidden/>
              </w:rPr>
              <w:instrText xml:space="preserve"> PAGEREF _Toc4892867 \h </w:instrText>
            </w:r>
            <w:r w:rsidR="00A256DE" w:rsidRPr="001F1A70">
              <w:rPr>
                <w:noProof/>
                <w:webHidden/>
              </w:rPr>
            </w:r>
            <w:r w:rsidR="00A256DE" w:rsidRPr="001F1A70">
              <w:rPr>
                <w:noProof/>
                <w:webHidden/>
              </w:rPr>
              <w:fldChar w:fldCharType="separate"/>
            </w:r>
            <w:r w:rsidR="006C7AFD" w:rsidRPr="001F1A70">
              <w:rPr>
                <w:noProof/>
                <w:webHidden/>
              </w:rPr>
              <w:t>26</w:t>
            </w:r>
            <w:r w:rsidR="00A256DE" w:rsidRPr="001F1A70">
              <w:rPr>
                <w:noProof/>
                <w:webHidden/>
              </w:rPr>
              <w:fldChar w:fldCharType="end"/>
            </w:r>
          </w:hyperlink>
        </w:p>
        <w:p w:rsidR="006C7AFD" w:rsidRPr="001F1A70" w:rsidRDefault="0021225D">
          <w:pPr>
            <w:pStyle w:val="T2"/>
            <w:rPr>
              <w:rFonts w:cstheme="minorBidi"/>
              <w:noProof/>
            </w:rPr>
          </w:pPr>
          <w:hyperlink w:anchor="_Toc4892868" w:history="1">
            <w:r w:rsidR="006C7AFD" w:rsidRPr="001F1A70">
              <w:rPr>
                <w:rStyle w:val="Kpr"/>
                <w:rFonts w:eastAsiaTheme="majorEastAsia" w:cstheme="majorBidi"/>
                <w:noProof/>
              </w:rPr>
              <w:t>D. DENETİM ŞEKLİ (TESTE GÖNDERİLEN ÜRÜN SAYILARI)</w:t>
            </w:r>
            <w:r w:rsidR="006C7AFD" w:rsidRPr="001F1A70">
              <w:rPr>
                <w:noProof/>
                <w:webHidden/>
              </w:rPr>
              <w:tab/>
            </w:r>
            <w:r w:rsidR="00A256DE" w:rsidRPr="001F1A70">
              <w:rPr>
                <w:noProof/>
                <w:webHidden/>
              </w:rPr>
              <w:fldChar w:fldCharType="begin"/>
            </w:r>
            <w:r w:rsidR="006C7AFD" w:rsidRPr="001F1A70">
              <w:rPr>
                <w:noProof/>
                <w:webHidden/>
              </w:rPr>
              <w:instrText xml:space="preserve"> PAGEREF _Toc4892868 \h </w:instrText>
            </w:r>
            <w:r w:rsidR="00A256DE" w:rsidRPr="001F1A70">
              <w:rPr>
                <w:noProof/>
                <w:webHidden/>
              </w:rPr>
            </w:r>
            <w:r w:rsidR="00A256DE" w:rsidRPr="001F1A70">
              <w:rPr>
                <w:noProof/>
                <w:webHidden/>
              </w:rPr>
              <w:fldChar w:fldCharType="separate"/>
            </w:r>
            <w:r w:rsidR="006C7AFD" w:rsidRPr="001F1A70">
              <w:rPr>
                <w:noProof/>
                <w:webHidden/>
              </w:rPr>
              <w:t>2</w:t>
            </w:r>
            <w:r w:rsidR="00A256DE" w:rsidRPr="001F1A70">
              <w:rPr>
                <w:noProof/>
                <w:webHidden/>
              </w:rPr>
              <w:fldChar w:fldCharType="end"/>
            </w:r>
          </w:hyperlink>
          <w:r w:rsidR="001F1A70">
            <w:rPr>
              <w:noProof/>
            </w:rPr>
            <w:t>8</w:t>
          </w:r>
        </w:p>
        <w:p w:rsidR="006C7AFD" w:rsidRPr="001F1A70" w:rsidRDefault="0021225D" w:rsidP="0095406E">
          <w:pPr>
            <w:pStyle w:val="T1"/>
            <w:rPr>
              <w:rFonts w:cstheme="minorBidi"/>
              <w:noProof/>
            </w:rPr>
          </w:pPr>
          <w:hyperlink w:anchor="_Toc4892869" w:history="1">
            <w:r w:rsidR="006C7AFD" w:rsidRPr="001F1A70">
              <w:rPr>
                <w:rStyle w:val="Kpr"/>
                <w:noProof/>
              </w:rPr>
              <w:t>5. UYGULANAN İDARİ PARA CEZALARI VE ALINAN ÖNLEMLER</w:t>
            </w:r>
            <w:r w:rsidR="006C7AFD" w:rsidRPr="001F1A70">
              <w:rPr>
                <w:noProof/>
                <w:webHidden/>
              </w:rPr>
              <w:tab/>
            </w:r>
            <w:r w:rsidR="00A256DE" w:rsidRPr="001F1A70">
              <w:rPr>
                <w:noProof/>
                <w:webHidden/>
              </w:rPr>
              <w:fldChar w:fldCharType="begin"/>
            </w:r>
            <w:r w:rsidR="006C7AFD" w:rsidRPr="001F1A70">
              <w:rPr>
                <w:noProof/>
                <w:webHidden/>
              </w:rPr>
              <w:instrText xml:space="preserve"> PAGEREF _Toc4892869 \h </w:instrText>
            </w:r>
            <w:r w:rsidR="00A256DE" w:rsidRPr="001F1A70">
              <w:rPr>
                <w:noProof/>
                <w:webHidden/>
              </w:rPr>
            </w:r>
            <w:r w:rsidR="00A256DE" w:rsidRPr="001F1A70">
              <w:rPr>
                <w:noProof/>
                <w:webHidden/>
              </w:rPr>
              <w:fldChar w:fldCharType="separate"/>
            </w:r>
            <w:r w:rsidR="006C7AFD" w:rsidRPr="001F1A70">
              <w:rPr>
                <w:noProof/>
                <w:webHidden/>
              </w:rPr>
              <w:t>3</w:t>
            </w:r>
            <w:r w:rsidR="00A256DE" w:rsidRPr="001F1A70">
              <w:rPr>
                <w:noProof/>
                <w:webHidden/>
              </w:rPr>
              <w:fldChar w:fldCharType="end"/>
            </w:r>
          </w:hyperlink>
          <w:r w:rsidR="001F1A70">
            <w:rPr>
              <w:noProof/>
            </w:rPr>
            <w:t>3</w:t>
          </w:r>
        </w:p>
        <w:p w:rsidR="006C7AFD" w:rsidRPr="001F1A70" w:rsidRDefault="0021225D">
          <w:pPr>
            <w:pStyle w:val="T2"/>
            <w:rPr>
              <w:rFonts w:cstheme="minorBidi"/>
              <w:noProof/>
            </w:rPr>
          </w:pPr>
          <w:hyperlink w:anchor="_Toc4892870" w:history="1">
            <w:r w:rsidR="006C7AFD" w:rsidRPr="001F1A70">
              <w:rPr>
                <w:rStyle w:val="Kpr"/>
                <w:rFonts w:eastAsiaTheme="majorEastAsia" w:cstheme="majorBidi"/>
                <w:noProof/>
              </w:rPr>
              <w:t>A. İDARİ PARA CEZALARI</w:t>
            </w:r>
            <w:r w:rsidR="006C7AFD" w:rsidRPr="001F1A70">
              <w:rPr>
                <w:noProof/>
                <w:webHidden/>
              </w:rPr>
              <w:tab/>
            </w:r>
            <w:r w:rsidR="00A256DE" w:rsidRPr="001F1A70">
              <w:rPr>
                <w:noProof/>
                <w:webHidden/>
              </w:rPr>
              <w:fldChar w:fldCharType="begin"/>
            </w:r>
            <w:r w:rsidR="006C7AFD" w:rsidRPr="001F1A70">
              <w:rPr>
                <w:noProof/>
                <w:webHidden/>
              </w:rPr>
              <w:instrText xml:space="preserve"> PAGEREF _Toc4892870 \h </w:instrText>
            </w:r>
            <w:r w:rsidR="00A256DE" w:rsidRPr="001F1A70">
              <w:rPr>
                <w:noProof/>
                <w:webHidden/>
              </w:rPr>
            </w:r>
            <w:r w:rsidR="00A256DE" w:rsidRPr="001F1A70">
              <w:rPr>
                <w:noProof/>
                <w:webHidden/>
              </w:rPr>
              <w:fldChar w:fldCharType="separate"/>
            </w:r>
            <w:r w:rsidR="006C7AFD" w:rsidRPr="001F1A70">
              <w:rPr>
                <w:noProof/>
                <w:webHidden/>
              </w:rPr>
              <w:t>3</w:t>
            </w:r>
            <w:r w:rsidR="00A256DE" w:rsidRPr="001F1A70">
              <w:rPr>
                <w:noProof/>
                <w:webHidden/>
              </w:rPr>
              <w:fldChar w:fldCharType="end"/>
            </w:r>
          </w:hyperlink>
          <w:r w:rsidR="001F1A70">
            <w:rPr>
              <w:noProof/>
            </w:rPr>
            <w:t>3</w:t>
          </w:r>
        </w:p>
        <w:p w:rsidR="006C7AFD" w:rsidRPr="001F1A70" w:rsidRDefault="0021225D">
          <w:pPr>
            <w:pStyle w:val="T2"/>
            <w:rPr>
              <w:rFonts w:cstheme="minorBidi"/>
              <w:noProof/>
            </w:rPr>
          </w:pPr>
          <w:hyperlink w:anchor="_Toc4892871" w:history="1">
            <w:r w:rsidR="006C7AFD" w:rsidRPr="001F1A70">
              <w:rPr>
                <w:rStyle w:val="Kpr"/>
                <w:rFonts w:eastAsiaTheme="majorEastAsia" w:cstheme="majorBidi"/>
                <w:noProof/>
              </w:rPr>
              <w:t>B. ALINAN ÖNLEMLER</w:t>
            </w:r>
            <w:r w:rsidR="006C7AFD" w:rsidRPr="001F1A70">
              <w:rPr>
                <w:noProof/>
                <w:webHidden/>
              </w:rPr>
              <w:tab/>
            </w:r>
            <w:r w:rsidR="00A256DE" w:rsidRPr="001F1A70">
              <w:rPr>
                <w:noProof/>
                <w:webHidden/>
              </w:rPr>
              <w:fldChar w:fldCharType="begin"/>
            </w:r>
            <w:r w:rsidR="006C7AFD" w:rsidRPr="001F1A70">
              <w:rPr>
                <w:noProof/>
                <w:webHidden/>
              </w:rPr>
              <w:instrText xml:space="preserve"> PAGEREF _Toc4892871 \h </w:instrText>
            </w:r>
            <w:r w:rsidR="00A256DE" w:rsidRPr="001F1A70">
              <w:rPr>
                <w:noProof/>
                <w:webHidden/>
              </w:rPr>
            </w:r>
            <w:r w:rsidR="00A256DE" w:rsidRPr="001F1A70">
              <w:rPr>
                <w:noProof/>
                <w:webHidden/>
              </w:rPr>
              <w:fldChar w:fldCharType="separate"/>
            </w:r>
            <w:r w:rsidR="006C7AFD" w:rsidRPr="001F1A70">
              <w:rPr>
                <w:noProof/>
                <w:webHidden/>
              </w:rPr>
              <w:t>3</w:t>
            </w:r>
            <w:r w:rsidR="00A256DE" w:rsidRPr="001F1A70">
              <w:rPr>
                <w:noProof/>
                <w:webHidden/>
              </w:rPr>
              <w:fldChar w:fldCharType="end"/>
            </w:r>
          </w:hyperlink>
          <w:r w:rsidR="001F1A70">
            <w:rPr>
              <w:noProof/>
            </w:rPr>
            <w:t>7</w:t>
          </w:r>
        </w:p>
        <w:p w:rsidR="006C7AFD" w:rsidRPr="001F1A70" w:rsidRDefault="0021225D" w:rsidP="0095406E">
          <w:pPr>
            <w:pStyle w:val="T1"/>
            <w:rPr>
              <w:rFonts w:cstheme="minorBidi"/>
              <w:noProof/>
            </w:rPr>
          </w:pPr>
          <w:hyperlink w:anchor="_Toc4892872" w:history="1">
            <w:r w:rsidR="006C7AFD" w:rsidRPr="001F1A70">
              <w:rPr>
                <w:rStyle w:val="Kpr"/>
                <w:noProof/>
              </w:rPr>
              <w:t>IV. SONUÇ VE ÖNERİLER</w:t>
            </w:r>
            <w:r w:rsidR="006C7AFD" w:rsidRPr="001F1A70">
              <w:rPr>
                <w:noProof/>
                <w:webHidden/>
              </w:rPr>
              <w:tab/>
            </w:r>
          </w:hyperlink>
          <w:r w:rsidR="001F1A70">
            <w:rPr>
              <w:noProof/>
            </w:rPr>
            <w:t>38</w:t>
          </w:r>
        </w:p>
        <w:p w:rsidR="006C7AFD" w:rsidRPr="001F1A70" w:rsidRDefault="0021225D" w:rsidP="0095406E">
          <w:pPr>
            <w:pStyle w:val="T1"/>
            <w:rPr>
              <w:rFonts w:cstheme="minorBidi"/>
              <w:noProof/>
            </w:rPr>
          </w:pPr>
          <w:hyperlink w:anchor="_Toc4892873" w:history="1">
            <w:r w:rsidR="006C7AFD" w:rsidRPr="001F1A70">
              <w:rPr>
                <w:rStyle w:val="Kpr"/>
                <w:noProof/>
              </w:rPr>
              <w:t>V. EKLER</w:t>
            </w:r>
            <w:r w:rsidR="006C7AFD" w:rsidRPr="001F1A70">
              <w:rPr>
                <w:noProof/>
                <w:webHidden/>
              </w:rPr>
              <w:tab/>
            </w:r>
            <w:r w:rsidR="00A256DE" w:rsidRPr="001F1A70">
              <w:rPr>
                <w:noProof/>
                <w:webHidden/>
              </w:rPr>
              <w:fldChar w:fldCharType="begin"/>
            </w:r>
            <w:r w:rsidR="006C7AFD" w:rsidRPr="001F1A70">
              <w:rPr>
                <w:noProof/>
                <w:webHidden/>
              </w:rPr>
              <w:instrText xml:space="preserve"> PAGEREF _Toc4892873 \h </w:instrText>
            </w:r>
            <w:r w:rsidR="00A256DE" w:rsidRPr="001F1A70">
              <w:rPr>
                <w:noProof/>
                <w:webHidden/>
              </w:rPr>
            </w:r>
            <w:r w:rsidR="00A256DE" w:rsidRPr="001F1A70">
              <w:rPr>
                <w:noProof/>
                <w:webHidden/>
              </w:rPr>
              <w:fldChar w:fldCharType="separate"/>
            </w:r>
            <w:r w:rsidR="006C7AFD" w:rsidRPr="001F1A70">
              <w:rPr>
                <w:noProof/>
                <w:webHidden/>
              </w:rPr>
              <w:t>4</w:t>
            </w:r>
            <w:r w:rsidR="00A256DE" w:rsidRPr="001F1A70">
              <w:rPr>
                <w:noProof/>
                <w:webHidden/>
              </w:rPr>
              <w:fldChar w:fldCharType="end"/>
            </w:r>
          </w:hyperlink>
          <w:r w:rsidR="0013759A">
            <w:rPr>
              <w:noProof/>
            </w:rPr>
            <w:t>1</w:t>
          </w:r>
        </w:p>
        <w:p w:rsidR="006C7AFD" w:rsidRPr="001F1A70" w:rsidRDefault="0021225D" w:rsidP="0095406E">
          <w:pPr>
            <w:pStyle w:val="T1"/>
            <w:rPr>
              <w:rFonts w:cstheme="minorBidi"/>
              <w:noProof/>
            </w:rPr>
          </w:pPr>
          <w:hyperlink w:anchor="_Toc4892874" w:history="1">
            <w:r w:rsidR="006C7AFD" w:rsidRPr="001F1A70">
              <w:rPr>
                <w:rStyle w:val="Kpr"/>
                <w:noProof/>
              </w:rPr>
              <w:t>EK -1: PGD KURULUŞLARINA AİT İHBAR VE ŞİKAYET HATLARINA İLİŞKİN  LİSTE</w:t>
            </w:r>
            <w:r w:rsidR="006C7AFD" w:rsidRPr="001F1A70">
              <w:rPr>
                <w:noProof/>
                <w:webHidden/>
              </w:rPr>
              <w:tab/>
            </w:r>
            <w:r w:rsidR="00A256DE" w:rsidRPr="001F1A70">
              <w:rPr>
                <w:noProof/>
                <w:webHidden/>
              </w:rPr>
              <w:fldChar w:fldCharType="begin"/>
            </w:r>
            <w:r w:rsidR="006C7AFD" w:rsidRPr="001F1A70">
              <w:rPr>
                <w:noProof/>
                <w:webHidden/>
              </w:rPr>
              <w:instrText xml:space="preserve"> PAGEREF _Toc4892874 \h </w:instrText>
            </w:r>
            <w:r w:rsidR="00A256DE" w:rsidRPr="001F1A70">
              <w:rPr>
                <w:noProof/>
                <w:webHidden/>
              </w:rPr>
            </w:r>
            <w:r w:rsidR="00A256DE" w:rsidRPr="001F1A70">
              <w:rPr>
                <w:noProof/>
                <w:webHidden/>
              </w:rPr>
              <w:fldChar w:fldCharType="separate"/>
            </w:r>
            <w:r w:rsidR="006C7AFD" w:rsidRPr="001F1A70">
              <w:rPr>
                <w:noProof/>
                <w:webHidden/>
              </w:rPr>
              <w:t>4</w:t>
            </w:r>
            <w:r w:rsidR="00A256DE" w:rsidRPr="001F1A70">
              <w:rPr>
                <w:noProof/>
                <w:webHidden/>
              </w:rPr>
              <w:fldChar w:fldCharType="end"/>
            </w:r>
          </w:hyperlink>
          <w:r w:rsidR="0013759A">
            <w:rPr>
              <w:noProof/>
            </w:rPr>
            <w:t>1</w:t>
          </w:r>
        </w:p>
        <w:p w:rsidR="006C7AFD" w:rsidRPr="001F1A70" w:rsidRDefault="0021225D" w:rsidP="0095406E">
          <w:pPr>
            <w:pStyle w:val="T1"/>
            <w:rPr>
              <w:rFonts w:cstheme="minorBidi"/>
              <w:noProof/>
            </w:rPr>
          </w:pPr>
          <w:hyperlink w:anchor="_Toc4892875" w:history="1">
            <w:r w:rsidR="006C7AFD" w:rsidRPr="001F1A70">
              <w:rPr>
                <w:rStyle w:val="Kpr"/>
                <w:noProof/>
              </w:rPr>
              <w:t>EK -2: TABLOLAR</w:t>
            </w:r>
            <w:r w:rsidR="006C7AFD" w:rsidRPr="001F1A70">
              <w:rPr>
                <w:noProof/>
                <w:webHidden/>
              </w:rPr>
              <w:tab/>
            </w:r>
            <w:r w:rsidR="00A256DE" w:rsidRPr="001F1A70">
              <w:rPr>
                <w:noProof/>
                <w:webHidden/>
              </w:rPr>
              <w:fldChar w:fldCharType="begin"/>
            </w:r>
            <w:r w:rsidR="006C7AFD" w:rsidRPr="001F1A70">
              <w:rPr>
                <w:noProof/>
                <w:webHidden/>
              </w:rPr>
              <w:instrText xml:space="preserve"> PAGEREF _Toc4892875 \h </w:instrText>
            </w:r>
            <w:r w:rsidR="00A256DE" w:rsidRPr="001F1A70">
              <w:rPr>
                <w:noProof/>
                <w:webHidden/>
              </w:rPr>
            </w:r>
            <w:r w:rsidR="00A256DE" w:rsidRPr="001F1A70">
              <w:rPr>
                <w:noProof/>
                <w:webHidden/>
              </w:rPr>
              <w:fldChar w:fldCharType="separate"/>
            </w:r>
            <w:r w:rsidR="006C7AFD" w:rsidRPr="001F1A70">
              <w:rPr>
                <w:noProof/>
                <w:webHidden/>
              </w:rPr>
              <w:t>4</w:t>
            </w:r>
            <w:r w:rsidR="00A256DE" w:rsidRPr="001F1A70">
              <w:rPr>
                <w:noProof/>
                <w:webHidden/>
              </w:rPr>
              <w:fldChar w:fldCharType="end"/>
            </w:r>
          </w:hyperlink>
          <w:r w:rsidR="0013759A">
            <w:rPr>
              <w:noProof/>
            </w:rPr>
            <w:t>1</w:t>
          </w:r>
        </w:p>
        <w:p w:rsidR="00652B3C" w:rsidRPr="00E619EB" w:rsidRDefault="00A256DE" w:rsidP="00BE41A3">
          <w:pPr>
            <w:ind w:firstLine="709"/>
            <w:rPr>
              <w:bCs/>
              <w:color w:val="000000" w:themeColor="text1"/>
            </w:rPr>
          </w:pPr>
          <w:r w:rsidRPr="00E619EB">
            <w:rPr>
              <w:bCs/>
              <w:color w:val="000000" w:themeColor="text1"/>
            </w:rPr>
            <w:fldChar w:fldCharType="end"/>
          </w:r>
        </w:p>
      </w:sdtContent>
    </w:sdt>
    <w:p w:rsidR="00652B3C" w:rsidRPr="000554FC" w:rsidRDefault="00652B3C" w:rsidP="00BE41A3">
      <w:pPr>
        <w:ind w:firstLine="709"/>
        <w:rPr>
          <w:color w:val="000000" w:themeColor="text1"/>
        </w:rPr>
      </w:pPr>
    </w:p>
    <w:p w:rsidR="00377FA3" w:rsidRPr="00A77588" w:rsidRDefault="00377FA3" w:rsidP="00BE41A3">
      <w:pPr>
        <w:ind w:firstLine="709"/>
        <w:rPr>
          <w:b/>
          <w:color w:val="000000" w:themeColor="text1"/>
        </w:rPr>
      </w:pPr>
    </w:p>
    <w:p w:rsidR="00377FA3" w:rsidRPr="000554FC" w:rsidRDefault="00377FA3" w:rsidP="00BE41A3">
      <w:pPr>
        <w:ind w:firstLine="709"/>
        <w:rPr>
          <w:b/>
          <w:color w:val="000000" w:themeColor="text1"/>
        </w:rPr>
      </w:pPr>
    </w:p>
    <w:p w:rsidR="00A82CBB" w:rsidRPr="000554FC" w:rsidRDefault="00A82CBB" w:rsidP="00BE41A3">
      <w:pPr>
        <w:ind w:firstLine="709"/>
        <w:rPr>
          <w:b/>
          <w:color w:val="000000" w:themeColor="text1"/>
        </w:rPr>
      </w:pPr>
    </w:p>
    <w:p w:rsidR="00A82CBB" w:rsidRPr="000554FC" w:rsidRDefault="00A82CBB" w:rsidP="00BE41A3">
      <w:pPr>
        <w:ind w:firstLine="709"/>
        <w:rPr>
          <w:b/>
          <w:color w:val="000000" w:themeColor="text1"/>
        </w:rPr>
      </w:pPr>
    </w:p>
    <w:p w:rsidR="00D660B0" w:rsidRPr="000554FC" w:rsidRDefault="00D660B0" w:rsidP="00BE41A3">
      <w:pPr>
        <w:ind w:firstLine="709"/>
        <w:rPr>
          <w:b/>
          <w:color w:val="000000" w:themeColor="text1"/>
        </w:rPr>
      </w:pPr>
    </w:p>
    <w:p w:rsidR="00D660B0" w:rsidRPr="000554FC" w:rsidRDefault="00D660B0" w:rsidP="00BE41A3">
      <w:pPr>
        <w:ind w:firstLine="709"/>
        <w:rPr>
          <w:b/>
          <w:color w:val="000000" w:themeColor="text1"/>
        </w:rPr>
      </w:pPr>
    </w:p>
    <w:p w:rsidR="00D660B0" w:rsidRPr="000554FC" w:rsidRDefault="00D660B0" w:rsidP="00BE41A3">
      <w:pPr>
        <w:ind w:firstLine="709"/>
        <w:rPr>
          <w:b/>
          <w:color w:val="000000" w:themeColor="text1"/>
        </w:rPr>
      </w:pPr>
    </w:p>
    <w:p w:rsidR="00D660B0" w:rsidRDefault="00D660B0" w:rsidP="00BE41A3">
      <w:pPr>
        <w:ind w:firstLine="709"/>
        <w:rPr>
          <w:b/>
          <w:color w:val="000000" w:themeColor="text1"/>
        </w:rPr>
      </w:pPr>
    </w:p>
    <w:p w:rsidR="00BE41A3" w:rsidRDefault="00BE41A3" w:rsidP="00BE41A3">
      <w:pPr>
        <w:ind w:firstLine="709"/>
        <w:rPr>
          <w:b/>
          <w:color w:val="000000" w:themeColor="text1"/>
        </w:rPr>
      </w:pPr>
    </w:p>
    <w:p w:rsidR="00BE41A3" w:rsidRPr="000554FC" w:rsidRDefault="00BE41A3" w:rsidP="00BE41A3">
      <w:pPr>
        <w:ind w:firstLine="709"/>
        <w:rPr>
          <w:b/>
          <w:color w:val="000000" w:themeColor="text1"/>
        </w:rPr>
      </w:pPr>
    </w:p>
    <w:p w:rsidR="00D660B0" w:rsidRPr="000554FC" w:rsidRDefault="00D660B0" w:rsidP="00BE41A3">
      <w:pPr>
        <w:ind w:firstLine="709"/>
        <w:rPr>
          <w:b/>
          <w:color w:val="000000" w:themeColor="text1"/>
        </w:rPr>
      </w:pPr>
    </w:p>
    <w:p w:rsidR="00D660B0" w:rsidRPr="000554FC" w:rsidRDefault="00D660B0" w:rsidP="00BE41A3">
      <w:pPr>
        <w:ind w:firstLine="709"/>
        <w:rPr>
          <w:b/>
          <w:color w:val="000000" w:themeColor="text1"/>
        </w:rPr>
      </w:pPr>
    </w:p>
    <w:p w:rsidR="006B48B5" w:rsidRPr="000554FC" w:rsidRDefault="006B48B5" w:rsidP="00BE41A3">
      <w:pPr>
        <w:ind w:firstLine="709"/>
        <w:rPr>
          <w:b/>
          <w:color w:val="000000" w:themeColor="text1"/>
        </w:rPr>
      </w:pPr>
    </w:p>
    <w:p w:rsidR="00D660B0" w:rsidRPr="000554FC" w:rsidRDefault="00D660B0" w:rsidP="00BE41A3">
      <w:pPr>
        <w:ind w:firstLine="709"/>
        <w:rPr>
          <w:b/>
          <w:color w:val="000000" w:themeColor="text1"/>
        </w:rPr>
      </w:pPr>
    </w:p>
    <w:p w:rsidR="00D660B0" w:rsidRPr="000554FC" w:rsidRDefault="00D660B0" w:rsidP="00BE41A3">
      <w:pPr>
        <w:ind w:firstLine="709"/>
        <w:rPr>
          <w:b/>
          <w:color w:val="000000" w:themeColor="text1"/>
        </w:rPr>
      </w:pPr>
    </w:p>
    <w:p w:rsidR="00D660B0" w:rsidRPr="000554FC" w:rsidRDefault="00D660B0" w:rsidP="00BE41A3">
      <w:pPr>
        <w:ind w:firstLine="709"/>
        <w:rPr>
          <w:b/>
          <w:color w:val="000000" w:themeColor="text1"/>
        </w:rPr>
      </w:pPr>
    </w:p>
    <w:p w:rsidR="00A82CBB" w:rsidRDefault="00A82CBB" w:rsidP="00BE41A3">
      <w:pPr>
        <w:ind w:firstLine="709"/>
        <w:rPr>
          <w:b/>
          <w:color w:val="000000" w:themeColor="text1"/>
        </w:rPr>
      </w:pPr>
    </w:p>
    <w:p w:rsidR="00C62B19" w:rsidRDefault="00C62B19" w:rsidP="00BE41A3">
      <w:pPr>
        <w:ind w:firstLine="709"/>
        <w:rPr>
          <w:b/>
          <w:color w:val="000000" w:themeColor="text1"/>
        </w:rPr>
      </w:pPr>
    </w:p>
    <w:p w:rsidR="004B2644" w:rsidRPr="000554FC" w:rsidRDefault="00D54325" w:rsidP="00BE41A3">
      <w:pPr>
        <w:ind w:firstLine="709"/>
        <w:rPr>
          <w:b/>
          <w:color w:val="000000" w:themeColor="text1"/>
        </w:rPr>
      </w:pPr>
      <w:r w:rsidRPr="000554FC">
        <w:rPr>
          <w:b/>
          <w:color w:val="000000" w:themeColor="text1"/>
        </w:rPr>
        <w:lastRenderedPageBreak/>
        <w:t>KISALTMALAR TABLOSU</w:t>
      </w:r>
    </w:p>
    <w:p w:rsidR="00D54325" w:rsidRPr="00A31030" w:rsidRDefault="00D54325" w:rsidP="00BE41A3">
      <w:pPr>
        <w:ind w:firstLine="709"/>
        <w:rPr>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6"/>
        <w:gridCol w:w="6470"/>
      </w:tblGrid>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AB</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Avrupa Birliği</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STB</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Sanayi ve Teknoloji Bakanlığı</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BTK</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Bilgi Teknolojileri ve İletişim Kurumu</w:t>
            </w:r>
          </w:p>
        </w:tc>
      </w:tr>
      <w:tr w:rsidR="00A31030" w:rsidRPr="00A31030" w:rsidTr="0091185D">
        <w:trPr>
          <w:trHeight w:val="300"/>
        </w:trPr>
        <w:tc>
          <w:tcPr>
            <w:tcW w:w="2456" w:type="dxa"/>
            <w:shd w:val="clear" w:color="auto" w:fill="auto"/>
            <w:noWrap/>
            <w:vAlign w:val="bottom"/>
            <w:hideMark/>
          </w:tcPr>
          <w:p w:rsidR="00D54325" w:rsidRPr="00A31030" w:rsidRDefault="00644E18" w:rsidP="00644D2D">
            <w:pPr>
              <w:spacing w:line="360" w:lineRule="auto"/>
              <w:ind w:firstLine="709"/>
              <w:jc w:val="center"/>
              <w:rPr>
                <w:b/>
                <w:lang w:eastAsia="tr-TR"/>
              </w:rPr>
            </w:pPr>
            <w:r>
              <w:rPr>
                <w:b/>
                <w:lang w:eastAsia="tr-TR"/>
              </w:rPr>
              <w:t>A</w:t>
            </w:r>
            <w:r w:rsidR="00D54325" w:rsidRPr="00A31030">
              <w:rPr>
                <w:b/>
                <w:lang w:eastAsia="tr-TR"/>
              </w:rPr>
              <w:t>ÇS</w:t>
            </w:r>
            <w:r w:rsidR="00644D2D">
              <w:rPr>
                <w:b/>
                <w:lang w:eastAsia="tr-TR"/>
              </w:rPr>
              <w:t>H</w:t>
            </w:r>
            <w:r w:rsidR="00D54325" w:rsidRPr="00A31030">
              <w:rPr>
                <w:b/>
                <w:lang w:eastAsia="tr-TR"/>
              </w:rPr>
              <w:t>B</w:t>
            </w:r>
          </w:p>
        </w:tc>
        <w:tc>
          <w:tcPr>
            <w:tcW w:w="6470" w:type="dxa"/>
            <w:shd w:val="clear" w:color="auto" w:fill="auto"/>
            <w:noWrap/>
            <w:vAlign w:val="bottom"/>
            <w:hideMark/>
          </w:tcPr>
          <w:p w:rsidR="00D54325" w:rsidRPr="00A31030" w:rsidRDefault="00644E18" w:rsidP="00BE41A3">
            <w:pPr>
              <w:spacing w:line="360" w:lineRule="auto"/>
              <w:ind w:firstLine="709"/>
              <w:rPr>
                <w:lang w:eastAsia="tr-TR"/>
              </w:rPr>
            </w:pPr>
            <w:r>
              <w:rPr>
                <w:lang w:eastAsia="tr-TR"/>
              </w:rPr>
              <w:t>Aile, Çalışma ve Sosyal Hizmetler</w:t>
            </w:r>
            <w:r w:rsidR="00D54325" w:rsidRPr="00A31030">
              <w:rPr>
                <w:lang w:eastAsia="tr-TR"/>
              </w:rPr>
              <w:t xml:space="preserve"> Bakanlığı</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ÇŞB</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Çevre ve Şehircilik Bakanlığı</w:t>
            </w:r>
          </w:p>
        </w:tc>
      </w:tr>
      <w:tr w:rsidR="00644D2D" w:rsidRPr="00A31030" w:rsidTr="0091185D">
        <w:trPr>
          <w:trHeight w:val="300"/>
        </w:trPr>
        <w:tc>
          <w:tcPr>
            <w:tcW w:w="2456" w:type="dxa"/>
            <w:shd w:val="clear" w:color="auto" w:fill="auto"/>
            <w:noWrap/>
            <w:vAlign w:val="bottom"/>
          </w:tcPr>
          <w:p w:rsidR="00644D2D" w:rsidRDefault="00644D2D" w:rsidP="00BE41A3">
            <w:pPr>
              <w:spacing w:line="360" w:lineRule="auto"/>
              <w:ind w:firstLine="709"/>
              <w:jc w:val="center"/>
              <w:rPr>
                <w:b/>
                <w:lang w:eastAsia="tr-TR"/>
              </w:rPr>
            </w:pPr>
            <w:r>
              <w:rPr>
                <w:b/>
                <w:lang w:eastAsia="tr-TR"/>
              </w:rPr>
              <w:t>EB</w:t>
            </w:r>
          </w:p>
        </w:tc>
        <w:tc>
          <w:tcPr>
            <w:tcW w:w="6470" w:type="dxa"/>
            <w:shd w:val="clear" w:color="auto" w:fill="auto"/>
            <w:noWrap/>
            <w:vAlign w:val="bottom"/>
          </w:tcPr>
          <w:p w:rsidR="00644D2D" w:rsidRDefault="00644D2D" w:rsidP="00BE41A3">
            <w:pPr>
              <w:spacing w:line="360" w:lineRule="auto"/>
              <w:ind w:firstLine="709"/>
              <w:rPr>
                <w:lang w:eastAsia="tr-TR"/>
              </w:rPr>
            </w:pPr>
            <w:r>
              <w:rPr>
                <w:lang w:eastAsia="tr-TR"/>
              </w:rPr>
              <w:t>Mülga Ekonomi Bakanlığı</w:t>
            </w:r>
          </w:p>
        </w:tc>
      </w:tr>
      <w:tr w:rsidR="00A31030" w:rsidRPr="00A31030" w:rsidTr="0091185D">
        <w:trPr>
          <w:trHeight w:val="300"/>
        </w:trPr>
        <w:tc>
          <w:tcPr>
            <w:tcW w:w="2456" w:type="dxa"/>
            <w:shd w:val="clear" w:color="auto" w:fill="auto"/>
            <w:noWrap/>
            <w:vAlign w:val="bottom"/>
          </w:tcPr>
          <w:p w:rsidR="00BE2E87" w:rsidRPr="00A31030" w:rsidRDefault="00644E18" w:rsidP="00BE41A3">
            <w:pPr>
              <w:spacing w:line="360" w:lineRule="auto"/>
              <w:ind w:firstLine="709"/>
              <w:jc w:val="center"/>
              <w:rPr>
                <w:b/>
                <w:lang w:eastAsia="tr-TR"/>
              </w:rPr>
            </w:pPr>
            <w:r>
              <w:rPr>
                <w:b/>
                <w:lang w:eastAsia="tr-TR"/>
              </w:rPr>
              <w:t>T</w:t>
            </w:r>
            <w:r w:rsidR="00BE2E87" w:rsidRPr="00A31030">
              <w:rPr>
                <w:b/>
                <w:lang w:eastAsia="tr-TR"/>
              </w:rPr>
              <w:t>B</w:t>
            </w:r>
          </w:p>
        </w:tc>
        <w:tc>
          <w:tcPr>
            <w:tcW w:w="6470" w:type="dxa"/>
            <w:shd w:val="clear" w:color="auto" w:fill="auto"/>
            <w:noWrap/>
            <w:vAlign w:val="bottom"/>
          </w:tcPr>
          <w:p w:rsidR="00BE2E87" w:rsidRPr="00A31030" w:rsidRDefault="00644E18" w:rsidP="00BE41A3">
            <w:pPr>
              <w:spacing w:line="360" w:lineRule="auto"/>
              <w:ind w:firstLine="709"/>
              <w:rPr>
                <w:lang w:eastAsia="tr-TR"/>
              </w:rPr>
            </w:pPr>
            <w:r>
              <w:rPr>
                <w:lang w:eastAsia="tr-TR"/>
              </w:rPr>
              <w:t>Ticaret</w:t>
            </w:r>
            <w:r w:rsidR="00BE2E87" w:rsidRPr="00A31030">
              <w:rPr>
                <w:lang w:eastAsia="tr-TR"/>
              </w:rPr>
              <w:t xml:space="preserve"> Bakanlığı</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EPDK</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Enerji Piyasası Düzenleme Kurumu</w:t>
            </w:r>
          </w:p>
        </w:tc>
      </w:tr>
      <w:tr w:rsidR="00A31030" w:rsidRPr="00A31030" w:rsidTr="0091185D">
        <w:trPr>
          <w:trHeight w:val="300"/>
        </w:trPr>
        <w:tc>
          <w:tcPr>
            <w:tcW w:w="2456" w:type="dxa"/>
            <w:shd w:val="clear" w:color="auto" w:fill="auto"/>
            <w:noWrap/>
            <w:vAlign w:val="bottom"/>
          </w:tcPr>
          <w:p w:rsidR="0059012E" w:rsidRPr="00A31030" w:rsidRDefault="0059012E" w:rsidP="00BE41A3">
            <w:pPr>
              <w:spacing w:line="360" w:lineRule="auto"/>
              <w:ind w:firstLine="709"/>
              <w:jc w:val="center"/>
              <w:rPr>
                <w:b/>
                <w:lang w:eastAsia="tr-TR"/>
              </w:rPr>
            </w:pPr>
            <w:r w:rsidRPr="00A31030">
              <w:rPr>
                <w:b/>
                <w:lang w:eastAsia="tr-TR"/>
              </w:rPr>
              <w:t>E-PGD</w:t>
            </w:r>
          </w:p>
        </w:tc>
        <w:tc>
          <w:tcPr>
            <w:tcW w:w="6470" w:type="dxa"/>
            <w:shd w:val="clear" w:color="auto" w:fill="auto"/>
            <w:noWrap/>
            <w:vAlign w:val="bottom"/>
          </w:tcPr>
          <w:p w:rsidR="0059012E" w:rsidRPr="00A31030" w:rsidRDefault="0059012E" w:rsidP="00BE41A3">
            <w:pPr>
              <w:spacing w:line="360" w:lineRule="auto"/>
              <w:ind w:firstLine="709"/>
              <w:rPr>
                <w:lang w:eastAsia="tr-TR"/>
              </w:rPr>
            </w:pPr>
            <w:r w:rsidRPr="00A31030">
              <w:rPr>
                <w:lang w:eastAsia="tr-TR"/>
              </w:rPr>
              <w:t>Elektronik ortamda yürütülen piyasa gözetimi ve denetimi</w:t>
            </w:r>
          </w:p>
        </w:tc>
      </w:tr>
      <w:tr w:rsidR="00A31030" w:rsidRPr="00A31030" w:rsidTr="0091185D">
        <w:trPr>
          <w:trHeight w:val="300"/>
        </w:trPr>
        <w:tc>
          <w:tcPr>
            <w:tcW w:w="2456" w:type="dxa"/>
            <w:shd w:val="clear" w:color="auto" w:fill="auto"/>
            <w:noWrap/>
            <w:vAlign w:val="bottom"/>
            <w:hideMark/>
          </w:tcPr>
          <w:p w:rsidR="00D54325" w:rsidRPr="00A31030" w:rsidRDefault="000C2BE5" w:rsidP="00644E18">
            <w:pPr>
              <w:spacing w:line="360" w:lineRule="auto"/>
              <w:ind w:firstLine="709"/>
              <w:jc w:val="center"/>
              <w:rPr>
                <w:b/>
                <w:lang w:eastAsia="tr-TR"/>
              </w:rPr>
            </w:pPr>
            <w:r>
              <w:rPr>
                <w:b/>
                <w:lang w:eastAsia="tr-TR"/>
              </w:rPr>
              <w:t>TKPG</w:t>
            </w:r>
            <w:r w:rsidR="00644E18">
              <w:rPr>
                <w:b/>
                <w:lang w:eastAsia="tr-TR"/>
              </w:rPr>
              <w:t>GM</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Ticaret Bakanlığı</w:t>
            </w:r>
            <w:r w:rsidR="00644E18">
              <w:rPr>
                <w:lang w:eastAsia="tr-TR"/>
              </w:rPr>
              <w:t xml:space="preserve">, Tüketicinin Korunması ve </w:t>
            </w:r>
            <w:proofErr w:type="gramStart"/>
            <w:r w:rsidR="00644E18">
              <w:rPr>
                <w:lang w:eastAsia="tr-TR"/>
              </w:rPr>
              <w:t>Piyasa         Gözetimi</w:t>
            </w:r>
            <w:proofErr w:type="gramEnd"/>
            <w:r w:rsidR="00644E18">
              <w:rPr>
                <w:lang w:eastAsia="tr-TR"/>
              </w:rPr>
              <w:t xml:space="preserve"> Genel Müdürlüğü</w:t>
            </w:r>
          </w:p>
        </w:tc>
      </w:tr>
      <w:tr w:rsidR="00A31030" w:rsidRPr="00A31030" w:rsidTr="0091185D">
        <w:trPr>
          <w:trHeight w:val="300"/>
        </w:trPr>
        <w:tc>
          <w:tcPr>
            <w:tcW w:w="2456" w:type="dxa"/>
            <w:shd w:val="clear" w:color="auto" w:fill="auto"/>
            <w:noWrap/>
            <w:vAlign w:val="bottom"/>
            <w:hideMark/>
          </w:tcPr>
          <w:p w:rsidR="00D54325" w:rsidRPr="00A31030" w:rsidRDefault="00644E18" w:rsidP="00BE41A3">
            <w:pPr>
              <w:spacing w:line="360" w:lineRule="auto"/>
              <w:ind w:firstLine="709"/>
              <w:jc w:val="center"/>
              <w:rPr>
                <w:b/>
                <w:lang w:eastAsia="tr-TR"/>
              </w:rPr>
            </w:pPr>
            <w:r>
              <w:rPr>
                <w:b/>
                <w:lang w:eastAsia="tr-TR"/>
              </w:rPr>
              <w:t>TOB</w:t>
            </w:r>
          </w:p>
        </w:tc>
        <w:tc>
          <w:tcPr>
            <w:tcW w:w="6470" w:type="dxa"/>
            <w:shd w:val="clear" w:color="auto" w:fill="auto"/>
            <w:noWrap/>
            <w:vAlign w:val="bottom"/>
            <w:hideMark/>
          </w:tcPr>
          <w:p w:rsidR="00D54325" w:rsidRPr="00A31030" w:rsidRDefault="00D54325" w:rsidP="00644E18">
            <w:pPr>
              <w:spacing w:line="360" w:lineRule="auto"/>
              <w:ind w:firstLine="709"/>
              <w:rPr>
                <w:lang w:eastAsia="tr-TR"/>
              </w:rPr>
            </w:pPr>
            <w:r w:rsidRPr="00A31030">
              <w:rPr>
                <w:lang w:eastAsia="tr-TR"/>
              </w:rPr>
              <w:t xml:space="preserve">Tarım ve </w:t>
            </w:r>
            <w:r w:rsidR="00644E18">
              <w:rPr>
                <w:lang w:eastAsia="tr-TR"/>
              </w:rPr>
              <w:t>Orman</w:t>
            </w:r>
            <w:r w:rsidRPr="00A31030">
              <w:rPr>
                <w:lang w:eastAsia="tr-TR"/>
              </w:rPr>
              <w:t xml:space="preserve"> Bakanlığı</w:t>
            </w:r>
          </w:p>
        </w:tc>
      </w:tr>
      <w:tr w:rsidR="00A31030" w:rsidRPr="00A31030" w:rsidTr="0091185D">
        <w:trPr>
          <w:trHeight w:val="300"/>
        </w:trPr>
        <w:tc>
          <w:tcPr>
            <w:tcW w:w="2456" w:type="dxa"/>
            <w:shd w:val="clear" w:color="auto" w:fill="auto"/>
            <w:noWrap/>
            <w:vAlign w:val="bottom"/>
          </w:tcPr>
          <w:p w:rsidR="00795009" w:rsidRPr="00A31030" w:rsidRDefault="00795009" w:rsidP="00BE41A3">
            <w:pPr>
              <w:spacing w:line="360" w:lineRule="auto"/>
              <w:ind w:firstLine="709"/>
              <w:jc w:val="center"/>
              <w:rPr>
                <w:b/>
                <w:lang w:eastAsia="tr-TR"/>
              </w:rPr>
            </w:pPr>
            <w:r w:rsidRPr="00A31030">
              <w:rPr>
                <w:b/>
                <w:lang w:eastAsia="tr-TR"/>
              </w:rPr>
              <w:t>İPC</w:t>
            </w:r>
          </w:p>
        </w:tc>
        <w:tc>
          <w:tcPr>
            <w:tcW w:w="6470" w:type="dxa"/>
            <w:shd w:val="clear" w:color="auto" w:fill="auto"/>
            <w:noWrap/>
            <w:vAlign w:val="bottom"/>
          </w:tcPr>
          <w:p w:rsidR="00795009" w:rsidRPr="00A31030" w:rsidRDefault="009A2B5F" w:rsidP="00BE41A3">
            <w:pPr>
              <w:spacing w:line="360" w:lineRule="auto"/>
              <w:ind w:firstLine="709"/>
              <w:rPr>
                <w:lang w:eastAsia="tr-TR"/>
              </w:rPr>
            </w:pPr>
            <w:r>
              <w:rPr>
                <w:lang w:eastAsia="tr-TR"/>
              </w:rPr>
              <w:t>İdari Para C</w:t>
            </w:r>
            <w:r w:rsidR="00795009" w:rsidRPr="00A31030">
              <w:rPr>
                <w:lang w:eastAsia="tr-TR"/>
              </w:rPr>
              <w:t>ezası</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OECD</w:t>
            </w:r>
          </w:p>
        </w:tc>
        <w:tc>
          <w:tcPr>
            <w:tcW w:w="6470" w:type="dxa"/>
            <w:shd w:val="clear" w:color="auto" w:fill="auto"/>
            <w:noWrap/>
            <w:vAlign w:val="bottom"/>
            <w:hideMark/>
          </w:tcPr>
          <w:p w:rsidR="00D54325" w:rsidRPr="00A31030" w:rsidRDefault="00ED6CE7" w:rsidP="00BE41A3">
            <w:pPr>
              <w:spacing w:line="360" w:lineRule="auto"/>
              <w:ind w:firstLine="709"/>
              <w:rPr>
                <w:lang w:eastAsia="tr-TR"/>
              </w:rPr>
            </w:pPr>
            <w:r w:rsidRPr="00A31030">
              <w:rPr>
                <w:lang w:eastAsia="tr-TR"/>
              </w:rPr>
              <w:t xml:space="preserve">İktisadi </w:t>
            </w:r>
            <w:r w:rsidR="00D54325" w:rsidRPr="00A31030">
              <w:rPr>
                <w:lang w:eastAsia="tr-TR"/>
              </w:rPr>
              <w:t>İş</w:t>
            </w:r>
            <w:r w:rsidR="009074B5" w:rsidRPr="00A31030">
              <w:rPr>
                <w:lang w:eastAsia="tr-TR"/>
              </w:rPr>
              <w:t>b</w:t>
            </w:r>
            <w:r w:rsidR="00D54325" w:rsidRPr="00A31030">
              <w:rPr>
                <w:lang w:eastAsia="tr-TR"/>
              </w:rPr>
              <w:t>irliği ve Kalkınma Teşkilatı</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PGD</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Piyasa Gözetimi ve Denetimi</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PGDBİS</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Ulusal Piyasa Gözetimi ve Denetimi Bilgi Sistemi</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PROSAFE</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Avrupa Ürün Güvenliği Forumu</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SB</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Sağlık Bakanlığı</w:t>
            </w:r>
          </w:p>
        </w:tc>
      </w:tr>
      <w:tr w:rsidR="00A31030" w:rsidRPr="00A31030" w:rsidTr="0091185D">
        <w:trPr>
          <w:trHeight w:val="300"/>
        </w:trPr>
        <w:tc>
          <w:tcPr>
            <w:tcW w:w="2456" w:type="dxa"/>
            <w:shd w:val="clear" w:color="auto" w:fill="auto"/>
            <w:noWrap/>
            <w:vAlign w:val="bottom"/>
            <w:hideMark/>
          </w:tcPr>
          <w:p w:rsidR="00D54325" w:rsidRPr="009F3CCE" w:rsidRDefault="00D54325" w:rsidP="00BE41A3">
            <w:pPr>
              <w:spacing w:line="360" w:lineRule="auto"/>
              <w:ind w:firstLine="709"/>
              <w:jc w:val="center"/>
              <w:rPr>
                <w:b/>
                <w:lang w:eastAsia="tr-TR"/>
              </w:rPr>
            </w:pPr>
            <w:r w:rsidRPr="009F3CCE">
              <w:rPr>
                <w:b/>
                <w:lang w:eastAsia="tr-TR"/>
              </w:rPr>
              <w:t>TAPDK</w:t>
            </w:r>
          </w:p>
        </w:tc>
        <w:tc>
          <w:tcPr>
            <w:tcW w:w="6470" w:type="dxa"/>
            <w:shd w:val="clear" w:color="auto" w:fill="auto"/>
            <w:noWrap/>
            <w:vAlign w:val="bottom"/>
            <w:hideMark/>
          </w:tcPr>
          <w:p w:rsidR="00D54325" w:rsidRPr="009F3CCE" w:rsidRDefault="00644E18" w:rsidP="0089359A">
            <w:pPr>
              <w:spacing w:line="360" w:lineRule="auto"/>
              <w:ind w:firstLine="709"/>
              <w:rPr>
                <w:lang w:eastAsia="tr-TR"/>
              </w:rPr>
            </w:pPr>
            <w:r w:rsidRPr="009F3CCE">
              <w:rPr>
                <w:lang w:eastAsia="tr-TR"/>
              </w:rPr>
              <w:t>T</w:t>
            </w:r>
            <w:r w:rsidR="0089359A">
              <w:rPr>
                <w:lang w:eastAsia="tr-TR"/>
              </w:rPr>
              <w:t>ütün ve Alkol Piyasaları Düzenleme Kurumu</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TOBB</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Türkiye Odalar ve Borsalar Birliği</w:t>
            </w:r>
          </w:p>
        </w:tc>
      </w:tr>
      <w:tr w:rsidR="00A31030" w:rsidRPr="00A31030" w:rsidTr="00724BE5">
        <w:trPr>
          <w:trHeight w:val="537"/>
        </w:trPr>
        <w:tc>
          <w:tcPr>
            <w:tcW w:w="2456" w:type="dxa"/>
            <w:shd w:val="clear" w:color="auto" w:fill="auto"/>
            <w:noWrap/>
            <w:vAlign w:val="bottom"/>
          </w:tcPr>
          <w:p w:rsidR="005C5964" w:rsidRPr="00A31030" w:rsidRDefault="005C5964" w:rsidP="00BE41A3">
            <w:pPr>
              <w:spacing w:line="360" w:lineRule="auto"/>
              <w:ind w:firstLine="709"/>
              <w:jc w:val="center"/>
              <w:rPr>
                <w:b/>
                <w:lang w:eastAsia="tr-TR"/>
              </w:rPr>
            </w:pPr>
            <w:r w:rsidRPr="00A31030">
              <w:rPr>
                <w:b/>
                <w:lang w:eastAsia="tr-TR"/>
              </w:rPr>
              <w:t>TÜDEF</w:t>
            </w:r>
          </w:p>
        </w:tc>
        <w:tc>
          <w:tcPr>
            <w:tcW w:w="6470" w:type="dxa"/>
            <w:shd w:val="clear" w:color="auto" w:fill="auto"/>
            <w:vAlign w:val="bottom"/>
          </w:tcPr>
          <w:p w:rsidR="005C5964" w:rsidRPr="00A31030" w:rsidRDefault="005C5964" w:rsidP="00BE41A3">
            <w:pPr>
              <w:spacing w:line="360" w:lineRule="auto"/>
              <w:ind w:firstLine="709"/>
              <w:rPr>
                <w:lang w:eastAsia="tr-TR"/>
              </w:rPr>
            </w:pPr>
            <w:r w:rsidRPr="00A31030">
              <w:rPr>
                <w:lang w:eastAsia="tr-TR"/>
              </w:rPr>
              <w:t>Tüketici Dernekleri Federasyonu</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proofErr w:type="spellStart"/>
            <w:r w:rsidRPr="00A31030">
              <w:rPr>
                <w:b/>
                <w:lang w:eastAsia="tr-TR"/>
              </w:rPr>
              <w:t>UDDer</w:t>
            </w:r>
            <w:proofErr w:type="spellEnd"/>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Uygunluk Değerlendirmesi Derneği</w:t>
            </w:r>
          </w:p>
        </w:tc>
      </w:tr>
      <w:tr w:rsidR="00A31030" w:rsidRPr="00A31030" w:rsidTr="0091185D">
        <w:trPr>
          <w:trHeight w:val="300"/>
        </w:trPr>
        <w:tc>
          <w:tcPr>
            <w:tcW w:w="2456" w:type="dxa"/>
            <w:shd w:val="clear" w:color="auto" w:fill="auto"/>
            <w:noWrap/>
            <w:vAlign w:val="bottom"/>
            <w:hideMark/>
          </w:tcPr>
          <w:p w:rsidR="00D54325" w:rsidRPr="00A31030" w:rsidRDefault="00D54325" w:rsidP="00644E18">
            <w:pPr>
              <w:spacing w:line="360" w:lineRule="auto"/>
              <w:ind w:firstLine="709"/>
              <w:jc w:val="center"/>
              <w:rPr>
                <w:b/>
                <w:lang w:eastAsia="tr-TR"/>
              </w:rPr>
            </w:pPr>
            <w:r w:rsidRPr="00A31030">
              <w:rPr>
                <w:b/>
                <w:lang w:eastAsia="tr-TR"/>
              </w:rPr>
              <w:t>U</w:t>
            </w:r>
            <w:r w:rsidR="00644E18">
              <w:rPr>
                <w:b/>
                <w:lang w:eastAsia="tr-TR"/>
              </w:rPr>
              <w:t>AB</w:t>
            </w:r>
          </w:p>
        </w:tc>
        <w:tc>
          <w:tcPr>
            <w:tcW w:w="6470" w:type="dxa"/>
            <w:shd w:val="clear" w:color="auto" w:fill="auto"/>
            <w:noWrap/>
            <w:vAlign w:val="bottom"/>
            <w:hideMark/>
          </w:tcPr>
          <w:p w:rsidR="00D54325" w:rsidRPr="00A31030" w:rsidRDefault="00644E18" w:rsidP="00644E18">
            <w:pPr>
              <w:spacing w:line="360" w:lineRule="auto"/>
              <w:ind w:firstLine="709"/>
              <w:rPr>
                <w:lang w:eastAsia="tr-TR"/>
              </w:rPr>
            </w:pPr>
            <w:r>
              <w:rPr>
                <w:lang w:eastAsia="tr-TR"/>
              </w:rPr>
              <w:t xml:space="preserve">Ulaştırma ve Altyapı </w:t>
            </w:r>
            <w:r w:rsidR="00D54325" w:rsidRPr="00A31030">
              <w:rPr>
                <w:lang w:eastAsia="tr-TR"/>
              </w:rPr>
              <w:t>Bakanlığı</w:t>
            </w:r>
          </w:p>
        </w:tc>
      </w:tr>
      <w:tr w:rsidR="00A31030" w:rsidRPr="00A31030" w:rsidTr="0091185D">
        <w:trPr>
          <w:trHeight w:val="300"/>
        </w:trPr>
        <w:tc>
          <w:tcPr>
            <w:tcW w:w="2456" w:type="dxa"/>
            <w:shd w:val="clear" w:color="auto" w:fill="auto"/>
            <w:noWrap/>
            <w:vAlign w:val="bottom"/>
            <w:hideMark/>
          </w:tcPr>
          <w:p w:rsidR="00D54325" w:rsidRPr="00A31030" w:rsidRDefault="00D54325" w:rsidP="00BE41A3">
            <w:pPr>
              <w:spacing w:line="360" w:lineRule="auto"/>
              <w:ind w:firstLine="709"/>
              <w:jc w:val="center"/>
              <w:rPr>
                <w:b/>
                <w:lang w:eastAsia="tr-TR"/>
              </w:rPr>
            </w:pPr>
            <w:r w:rsidRPr="00A31030">
              <w:rPr>
                <w:b/>
                <w:lang w:eastAsia="tr-TR"/>
              </w:rPr>
              <w:t>UKAY</w:t>
            </w:r>
          </w:p>
        </w:tc>
        <w:tc>
          <w:tcPr>
            <w:tcW w:w="6470" w:type="dxa"/>
            <w:shd w:val="clear" w:color="auto" w:fill="auto"/>
            <w:noWrap/>
            <w:vAlign w:val="bottom"/>
            <w:hideMark/>
          </w:tcPr>
          <w:p w:rsidR="00D54325" w:rsidRPr="00A31030" w:rsidRDefault="00D54325" w:rsidP="00BE41A3">
            <w:pPr>
              <w:spacing w:line="360" w:lineRule="auto"/>
              <w:ind w:firstLine="709"/>
              <w:rPr>
                <w:lang w:eastAsia="tr-TR"/>
              </w:rPr>
            </w:pPr>
            <w:r w:rsidRPr="00A31030">
              <w:rPr>
                <w:lang w:eastAsia="tr-TR"/>
              </w:rPr>
              <w:t xml:space="preserve">Ulusal Kaza Yaralanma Veri </w:t>
            </w:r>
            <w:r w:rsidR="00EC3552" w:rsidRPr="00A31030">
              <w:rPr>
                <w:lang w:eastAsia="tr-TR"/>
              </w:rPr>
              <w:t>T</w:t>
            </w:r>
            <w:r w:rsidRPr="00A31030">
              <w:rPr>
                <w:lang w:eastAsia="tr-TR"/>
              </w:rPr>
              <w:t>abanı</w:t>
            </w:r>
          </w:p>
        </w:tc>
      </w:tr>
      <w:tr w:rsidR="00726C93" w:rsidRPr="00A31030" w:rsidTr="0091185D">
        <w:trPr>
          <w:trHeight w:val="300"/>
        </w:trPr>
        <w:tc>
          <w:tcPr>
            <w:tcW w:w="2456" w:type="dxa"/>
            <w:shd w:val="clear" w:color="auto" w:fill="auto"/>
            <w:noWrap/>
            <w:vAlign w:val="bottom"/>
          </w:tcPr>
          <w:p w:rsidR="00726C93" w:rsidRPr="00A31030" w:rsidRDefault="00726C93" w:rsidP="00BE41A3">
            <w:pPr>
              <w:spacing w:line="360" w:lineRule="auto"/>
              <w:ind w:firstLine="709"/>
              <w:jc w:val="center"/>
              <w:rPr>
                <w:b/>
                <w:lang w:eastAsia="tr-TR"/>
              </w:rPr>
            </w:pPr>
            <w:r>
              <w:rPr>
                <w:b/>
                <w:lang w:eastAsia="tr-TR"/>
              </w:rPr>
              <w:t>ÜTS</w:t>
            </w:r>
          </w:p>
        </w:tc>
        <w:tc>
          <w:tcPr>
            <w:tcW w:w="6470" w:type="dxa"/>
            <w:shd w:val="clear" w:color="auto" w:fill="auto"/>
            <w:noWrap/>
            <w:vAlign w:val="bottom"/>
          </w:tcPr>
          <w:p w:rsidR="00726C93" w:rsidRPr="00A31030" w:rsidRDefault="00726C93" w:rsidP="00BE41A3">
            <w:pPr>
              <w:spacing w:line="360" w:lineRule="auto"/>
              <w:ind w:firstLine="709"/>
              <w:rPr>
                <w:lang w:eastAsia="tr-TR"/>
              </w:rPr>
            </w:pPr>
            <w:r>
              <w:rPr>
                <w:lang w:eastAsia="tr-TR"/>
              </w:rPr>
              <w:t>Ürün Takip Sistemi</w:t>
            </w:r>
          </w:p>
        </w:tc>
      </w:tr>
    </w:tbl>
    <w:p w:rsidR="00D54325" w:rsidRPr="000554FC" w:rsidRDefault="00D54325" w:rsidP="00BE41A3">
      <w:pPr>
        <w:ind w:firstLine="709"/>
        <w:rPr>
          <w:color w:val="000000" w:themeColor="text1"/>
        </w:rPr>
      </w:pPr>
    </w:p>
    <w:p w:rsidR="00D54325" w:rsidRPr="000554FC" w:rsidRDefault="00D54325" w:rsidP="00BE41A3">
      <w:pPr>
        <w:ind w:firstLine="709"/>
        <w:rPr>
          <w:color w:val="000000" w:themeColor="text1"/>
        </w:rPr>
      </w:pPr>
    </w:p>
    <w:p w:rsidR="00D54325" w:rsidRDefault="00D54325" w:rsidP="00BE41A3">
      <w:pPr>
        <w:ind w:firstLine="709"/>
        <w:rPr>
          <w:color w:val="000000" w:themeColor="text1"/>
        </w:rPr>
      </w:pPr>
    </w:p>
    <w:p w:rsidR="00D83D19" w:rsidRDefault="00D83D19" w:rsidP="00BE41A3">
      <w:pPr>
        <w:ind w:firstLine="709"/>
        <w:rPr>
          <w:color w:val="000000" w:themeColor="text1"/>
        </w:rPr>
      </w:pPr>
    </w:p>
    <w:p w:rsidR="006A3CE9" w:rsidRDefault="006A3CE9" w:rsidP="00BE41A3">
      <w:pPr>
        <w:ind w:firstLine="709"/>
        <w:rPr>
          <w:color w:val="000000" w:themeColor="text1"/>
        </w:rPr>
      </w:pPr>
    </w:p>
    <w:p w:rsidR="006A3CE9" w:rsidRPr="000554FC" w:rsidRDefault="006A3CE9" w:rsidP="00BE41A3">
      <w:pPr>
        <w:ind w:firstLine="709"/>
        <w:rPr>
          <w:color w:val="000000" w:themeColor="text1"/>
        </w:rPr>
      </w:pPr>
    </w:p>
    <w:p w:rsidR="00D54325" w:rsidRDefault="00D54325" w:rsidP="00245853">
      <w:pPr>
        <w:rPr>
          <w:color w:val="000000" w:themeColor="text1"/>
        </w:rPr>
      </w:pPr>
    </w:p>
    <w:p w:rsidR="00EC1803" w:rsidRDefault="00EC1803" w:rsidP="00BE41A3">
      <w:pPr>
        <w:ind w:firstLine="709"/>
        <w:rPr>
          <w:color w:val="000000" w:themeColor="text1"/>
        </w:rPr>
      </w:pPr>
    </w:p>
    <w:p w:rsidR="00EC1803" w:rsidRPr="000554FC" w:rsidRDefault="00EC1803" w:rsidP="00BE41A3">
      <w:pPr>
        <w:ind w:firstLine="709"/>
        <w:rPr>
          <w:color w:val="000000" w:themeColor="text1"/>
        </w:rPr>
      </w:pPr>
    </w:p>
    <w:p w:rsidR="006D3C51" w:rsidRPr="006D3C51" w:rsidRDefault="00FB59B6" w:rsidP="006D3C51">
      <w:pPr>
        <w:pStyle w:val="Balk1"/>
        <w:numPr>
          <w:ilvl w:val="0"/>
          <w:numId w:val="37"/>
        </w:numPr>
      </w:pPr>
      <w:bookmarkStart w:id="2" w:name="_Toc4892855"/>
      <w:r w:rsidRPr="007C666F">
        <w:lastRenderedPageBreak/>
        <w:t>GİRİŞ</w:t>
      </w:r>
      <w:bookmarkEnd w:id="2"/>
    </w:p>
    <w:p w:rsidR="00FB59B6" w:rsidRPr="007C666F" w:rsidRDefault="00FB59B6" w:rsidP="00BE41A3">
      <w:pPr>
        <w:ind w:firstLine="709"/>
      </w:pPr>
    </w:p>
    <w:p w:rsidR="00705DAE" w:rsidRPr="007C666F" w:rsidRDefault="004E7EC8" w:rsidP="00BE41A3">
      <w:pPr>
        <w:spacing w:after="240"/>
        <w:ind w:firstLine="709"/>
        <w:jc w:val="both"/>
      </w:pPr>
      <w:r>
        <w:t>201</w:t>
      </w:r>
      <w:r w:rsidR="00154019">
        <w:t>9</w:t>
      </w:r>
      <w:r w:rsidR="00585440" w:rsidRPr="007C666F">
        <w:t xml:space="preserve"> yılı Piyasa Gözetimi ve Denetimi (PGD) Raporu, ü</w:t>
      </w:r>
      <w:r w:rsidR="00705DAE" w:rsidRPr="007C666F">
        <w:t xml:space="preserve">lkemizde </w:t>
      </w:r>
      <w:r w:rsidR="00DD08C0" w:rsidRPr="007C666F">
        <w:t xml:space="preserve">dokuz </w:t>
      </w:r>
      <w:r w:rsidR="00705DAE" w:rsidRPr="007C666F">
        <w:t xml:space="preserve">farklı kamu kuruluşu tarafından yürütülen </w:t>
      </w:r>
      <w:r w:rsidR="007C666F" w:rsidRPr="007C666F">
        <w:t xml:space="preserve">PGD </w:t>
      </w:r>
      <w:r w:rsidR="00705DAE" w:rsidRPr="007C666F">
        <w:t>faaliyetleri</w:t>
      </w:r>
      <w:r w:rsidR="00585440" w:rsidRPr="007C666F">
        <w:t>n</w:t>
      </w:r>
      <w:r w:rsidR="00C22F43">
        <w:t>in</w:t>
      </w:r>
      <w:r w:rsidR="006A5EBC">
        <w:t xml:space="preserve"> </w:t>
      </w:r>
      <w:r w:rsidR="007C666F" w:rsidRPr="007C666F">
        <w:t>değerlendirilmesi amacıyla, PGD faaliyetlerin</w:t>
      </w:r>
      <w:r w:rsidR="00C22F43">
        <w:t>in</w:t>
      </w:r>
      <w:r w:rsidR="00585440" w:rsidRPr="007C666F">
        <w:t xml:space="preserve"> ulusal düzeyde koordinasyon sorumluluğunu üstlenen </w:t>
      </w:r>
      <w:r>
        <w:t>Ticaret Bakanlığınca (T</w:t>
      </w:r>
      <w:r w:rsidR="00585440" w:rsidRPr="007C666F">
        <w:t xml:space="preserve">B) hazırlanmıştır. </w:t>
      </w:r>
      <w:r w:rsidR="00360D82" w:rsidRPr="00360D82">
        <w:rPr>
          <w:lang w:eastAsia="tr-TR"/>
        </w:rPr>
        <w:t xml:space="preserve">Koordinasyon görevinin gereği olarak, PGD faaliyetlerinin geliştirilmesi ve etkinleştirilmesi çalışmaları da Bakanlığımız sorumluluğuna verilmiştir. </w:t>
      </w:r>
      <w:r w:rsidR="00585440" w:rsidRPr="007C666F">
        <w:t xml:space="preserve">Bakanlığın koordinasyon görevi </w:t>
      </w:r>
      <w:r w:rsidR="007C666F" w:rsidRPr="007C666F">
        <w:t>içeris</w:t>
      </w:r>
      <w:r w:rsidR="00585440" w:rsidRPr="007C666F">
        <w:t xml:space="preserve">inde, PGD faaliyetlerinin </w:t>
      </w:r>
      <w:r w:rsidR="007C666F" w:rsidRPr="007C666F">
        <w:t xml:space="preserve">kayıt altına alınması, sistemin işleyişinin </w:t>
      </w:r>
      <w:r w:rsidR="007C666F" w:rsidRPr="00F4556C">
        <w:t>etkinliği</w:t>
      </w:r>
      <w:r w:rsidR="00B24E47" w:rsidRPr="00F4556C">
        <w:t>nin</w:t>
      </w:r>
      <w:r w:rsidR="007C666F" w:rsidRPr="00F4556C">
        <w:t xml:space="preserve"> ve verimliliğini</w:t>
      </w:r>
      <w:r w:rsidR="00B24E47" w:rsidRPr="00F4556C">
        <w:t>n</w:t>
      </w:r>
      <w:r w:rsidR="007C666F" w:rsidRPr="00F4556C">
        <w:t xml:space="preserve"> sayısal verilerden yola çık</w:t>
      </w:r>
      <w:r w:rsidR="00B24E47" w:rsidRPr="00F4556C">
        <w:t>ıl</w:t>
      </w:r>
      <w:r w:rsidR="007C666F" w:rsidRPr="00F4556C">
        <w:t>arak</w:t>
      </w:r>
      <w:r w:rsidR="007C666F" w:rsidRPr="007C666F">
        <w:t xml:space="preserve"> değerlendirilmesi ve politika önerileri getirilmesi amacıyla</w:t>
      </w:r>
      <w:r w:rsidR="00BF03E0">
        <w:t xml:space="preserve"> yıllık rapor hazırlanması</w:t>
      </w:r>
      <w:r w:rsidR="007C666F" w:rsidRPr="007C666F">
        <w:t xml:space="preserve">, PGD alanında </w:t>
      </w:r>
      <w:r w:rsidR="00C31CF0" w:rsidRPr="007C666F">
        <w:t xml:space="preserve">önemli bir </w:t>
      </w:r>
      <w:r w:rsidR="00165245" w:rsidRPr="007C666F">
        <w:t>yer teşkil etmektedir</w:t>
      </w:r>
      <w:r w:rsidR="00705DAE" w:rsidRPr="007C666F">
        <w:t xml:space="preserve">. </w:t>
      </w:r>
      <w:r w:rsidR="007C666F" w:rsidRPr="007C666F">
        <w:t>Her yıl düzenli olarak yayımlanan b</w:t>
      </w:r>
      <w:r w:rsidR="00585440" w:rsidRPr="007C666F">
        <w:t xml:space="preserve">u </w:t>
      </w:r>
      <w:r w:rsidR="007C666F" w:rsidRPr="007C666F">
        <w:t xml:space="preserve">rapor ile ilgili kuruluşların </w:t>
      </w:r>
      <w:r w:rsidR="00585440" w:rsidRPr="007C666F">
        <w:t xml:space="preserve">çalışmaları ortaya konulmakta, </w:t>
      </w:r>
      <w:r w:rsidR="00705DAE" w:rsidRPr="007C666F">
        <w:t xml:space="preserve">sistemde yıllar içerisinde görülen gelişmeler, sorunlar ve bu sorunların çözümüne yönelik öneriler </w:t>
      </w:r>
      <w:r w:rsidR="00585440" w:rsidRPr="007C666F">
        <w:t>kamuoyu ile paylaşılmaktadır.</w:t>
      </w:r>
    </w:p>
    <w:p w:rsidR="007C666F" w:rsidRDefault="007C666F" w:rsidP="00BE41A3">
      <w:pPr>
        <w:pStyle w:val="Default"/>
        <w:ind w:firstLine="709"/>
        <w:jc w:val="both"/>
        <w:rPr>
          <w:rFonts w:ascii="Times New Roman" w:eastAsia="Times New Roman" w:hAnsi="Times New Roman" w:cs="Times New Roman"/>
          <w:color w:val="auto"/>
        </w:rPr>
      </w:pPr>
      <w:r w:rsidRPr="007C666F">
        <w:rPr>
          <w:rFonts w:ascii="Times New Roman" w:eastAsia="Times New Roman" w:hAnsi="Times New Roman" w:cs="Times New Roman"/>
          <w:color w:val="auto"/>
        </w:rPr>
        <w:t xml:space="preserve">Bu raporda yer alan veriler, geçmiş yılların değerlendirilmesinin ötesinde gelecek yıllarda gerçekleştirilecek faaliyetlerin daha etkin, verimli ve işlevsel bir hale getirilmesi için yapılan planlamalarda ve </w:t>
      </w:r>
      <w:r w:rsidR="00347CA8" w:rsidRPr="007C666F">
        <w:rPr>
          <w:rFonts w:ascii="Times New Roman" w:eastAsia="Times New Roman" w:hAnsi="Times New Roman" w:cs="Times New Roman"/>
          <w:color w:val="auto"/>
        </w:rPr>
        <w:t xml:space="preserve">Ulusal PGD Stratejileri kapsamında </w:t>
      </w:r>
      <w:r w:rsidRPr="007C666F">
        <w:rPr>
          <w:rFonts w:ascii="Times New Roman" w:eastAsia="Times New Roman" w:hAnsi="Times New Roman" w:cs="Times New Roman"/>
          <w:color w:val="auto"/>
        </w:rPr>
        <w:t xml:space="preserve">da yol gösterici olmaktadır. </w:t>
      </w:r>
      <w:r>
        <w:rPr>
          <w:rFonts w:ascii="Times New Roman" w:eastAsia="Times New Roman" w:hAnsi="Times New Roman" w:cs="Times New Roman"/>
          <w:color w:val="auto"/>
        </w:rPr>
        <w:t xml:space="preserve">Bahsi geçen Stratejiler kapsamında ülkemizdeki PGD faaliyetlerinin etkinleştirilmesi ihtiyacı farklı şekillerde ve farklı başlıklar altında dile getirilmiştir. </w:t>
      </w:r>
    </w:p>
    <w:p w:rsidR="00B74A1F" w:rsidRDefault="00B74A1F" w:rsidP="00BE41A3">
      <w:pPr>
        <w:pStyle w:val="Default"/>
        <w:ind w:firstLine="709"/>
        <w:jc w:val="both"/>
        <w:rPr>
          <w:rFonts w:ascii="Times New Roman" w:eastAsia="Times New Roman" w:hAnsi="Times New Roman" w:cs="Times New Roman"/>
          <w:color w:val="auto"/>
        </w:rPr>
      </w:pPr>
    </w:p>
    <w:p w:rsidR="00B7389F" w:rsidRPr="00100363" w:rsidRDefault="00100363" w:rsidP="00BE41A3">
      <w:pPr>
        <w:spacing w:after="240"/>
        <w:ind w:firstLine="709"/>
        <w:jc w:val="both"/>
      </w:pPr>
      <w:r w:rsidRPr="00100363">
        <w:t xml:space="preserve">Okumakta olduğunuz bu Rapor, </w:t>
      </w:r>
      <w:r w:rsidR="00193CC2" w:rsidRPr="00100363">
        <w:t xml:space="preserve">Avrupa Birliği uygulamaları da göz önünde bulundurularak tespit edilen </w:t>
      </w:r>
      <w:proofErr w:type="gramStart"/>
      <w:r w:rsidR="00193CC2" w:rsidRPr="00100363">
        <w:t>metod</w:t>
      </w:r>
      <w:r w:rsidR="00193CC2" w:rsidRPr="00F4556C">
        <w:t>oloji</w:t>
      </w:r>
      <w:proofErr w:type="gramEnd"/>
      <w:r w:rsidR="00193CC2" w:rsidRPr="00100363">
        <w:t xml:space="preserve"> çerçevesinde hazırlan</w:t>
      </w:r>
      <w:r w:rsidRPr="00100363">
        <w:t xml:space="preserve">mış olup, </w:t>
      </w:r>
      <w:r w:rsidR="003C0AF8">
        <w:t xml:space="preserve">mülga </w:t>
      </w:r>
      <w:r w:rsidRPr="00100363">
        <w:t>Ek</w:t>
      </w:r>
      <w:r w:rsidR="002C6E68">
        <w:t>onomi Bakanlığı tarafından yay</w:t>
      </w:r>
      <w:r w:rsidR="002C6E68" w:rsidRPr="00F4556C">
        <w:t>ım</w:t>
      </w:r>
      <w:r w:rsidRPr="00F4556C">
        <w:t>lana</w:t>
      </w:r>
      <w:r w:rsidRPr="00100363">
        <w:t xml:space="preserve">n </w:t>
      </w:r>
      <w:r w:rsidR="00B7389F" w:rsidRPr="00100363">
        <w:t xml:space="preserve">ilk rapordan bu yana bu metodolojiye </w:t>
      </w:r>
      <w:r w:rsidR="001B422C" w:rsidRPr="00100363">
        <w:t xml:space="preserve">uygun ve </w:t>
      </w:r>
      <w:r w:rsidR="00B7389F" w:rsidRPr="00100363">
        <w:t xml:space="preserve">kıyaslanabilecek formatta veri sağlayabilen kuruluşlar </w:t>
      </w:r>
      <w:r w:rsidR="003049D4" w:rsidRPr="00100363">
        <w:t xml:space="preserve">raporda </w:t>
      </w:r>
      <w:r w:rsidR="005F044A" w:rsidRPr="00100363">
        <w:t xml:space="preserve">ağırlıklı olarak ele alınmaktadır. </w:t>
      </w:r>
    </w:p>
    <w:p w:rsidR="001D33C4" w:rsidRPr="00A31030" w:rsidRDefault="001D33C4" w:rsidP="00BE41A3">
      <w:pPr>
        <w:spacing w:after="240"/>
        <w:ind w:firstLine="709"/>
        <w:jc w:val="both"/>
      </w:pPr>
      <w:r w:rsidRPr="00100363">
        <w:t>B</w:t>
      </w:r>
      <w:r w:rsidR="005F044A" w:rsidRPr="00100363">
        <w:t>u rapord</w:t>
      </w:r>
      <w:r w:rsidR="005F044A" w:rsidRPr="00F4556C">
        <w:t>a</w:t>
      </w:r>
      <w:r w:rsidR="002C6E68" w:rsidRPr="00F4556C">
        <w:t>;</w:t>
      </w:r>
      <w:r w:rsidR="006A5EBC">
        <w:t xml:space="preserve"> </w:t>
      </w:r>
      <w:r w:rsidR="00AE7C52" w:rsidRPr="00100363">
        <w:t>Sanayi ve Teknoloji Bakanlığı</w:t>
      </w:r>
      <w:r w:rsidR="005F044A" w:rsidRPr="00100363">
        <w:t xml:space="preserve">, </w:t>
      </w:r>
      <w:r w:rsidR="00644D2D">
        <w:t>Aile, Çalışma ve Sosyal Hizmetler</w:t>
      </w:r>
      <w:r w:rsidR="00123C8E" w:rsidRPr="00100363">
        <w:t xml:space="preserve"> Bakanlığı</w:t>
      </w:r>
      <w:r w:rsidR="005F044A" w:rsidRPr="00100363">
        <w:t>,</w:t>
      </w:r>
      <w:r w:rsidR="006A5EBC">
        <w:t xml:space="preserve"> </w:t>
      </w:r>
      <w:r w:rsidR="00AE7C52" w:rsidRPr="00100363">
        <w:t>Çevre ve Şehircilik Bakanlığı</w:t>
      </w:r>
      <w:r w:rsidR="005F044A" w:rsidRPr="00100363">
        <w:t xml:space="preserve">, </w:t>
      </w:r>
      <w:r w:rsidR="001B422C" w:rsidRPr="00100363">
        <w:t xml:space="preserve">Tarım ve </w:t>
      </w:r>
      <w:r w:rsidR="00644D2D">
        <w:t>Orman</w:t>
      </w:r>
      <w:r w:rsidR="001B422C" w:rsidRPr="00100363">
        <w:t xml:space="preserve"> Bakanlığı, </w:t>
      </w:r>
      <w:r w:rsidR="00644D2D" w:rsidRPr="00A31030">
        <w:rPr>
          <w:lang w:eastAsia="tr-TR"/>
        </w:rPr>
        <w:t>Ticaret Bakanlığı</w:t>
      </w:r>
      <w:r w:rsidR="00644D2D">
        <w:rPr>
          <w:lang w:eastAsia="tr-TR"/>
        </w:rPr>
        <w:t xml:space="preserve"> Tüketicinin Korunması ve Piyasa Gözetimi Genel Müdürlüğü</w:t>
      </w:r>
      <w:r w:rsidR="005F044A" w:rsidRPr="00100363">
        <w:t xml:space="preserve">, </w:t>
      </w:r>
      <w:r w:rsidR="00123C8E" w:rsidRPr="00100363">
        <w:t>Sağlık Bakanlığı</w:t>
      </w:r>
      <w:r w:rsidR="005A3510" w:rsidRPr="00100363">
        <w:t xml:space="preserve">, </w:t>
      </w:r>
      <w:r w:rsidR="00123C8E" w:rsidRPr="00100363">
        <w:t xml:space="preserve">Ulaştırma ve </w:t>
      </w:r>
      <w:r w:rsidR="00644D2D">
        <w:t>Altyapı</w:t>
      </w:r>
      <w:r w:rsidR="00123C8E" w:rsidRPr="00100363">
        <w:t xml:space="preserve"> Bakanlığı</w:t>
      </w:r>
      <w:r w:rsidR="006A5EBC">
        <w:t xml:space="preserve"> </w:t>
      </w:r>
      <w:r w:rsidR="005F044A" w:rsidRPr="00100363">
        <w:t xml:space="preserve">ile </w:t>
      </w:r>
      <w:r w:rsidR="00123C8E" w:rsidRPr="00100363">
        <w:t>Bilgi Teknolojileri ve İletişim Kurumu’na</w:t>
      </w:r>
      <w:r w:rsidR="006A5EBC">
        <w:t xml:space="preserve"> </w:t>
      </w:r>
      <w:r w:rsidR="005F044A" w:rsidRPr="00100363">
        <w:t xml:space="preserve">ait veriler </w:t>
      </w:r>
      <w:r w:rsidR="005F044A" w:rsidRPr="00A31030">
        <w:t>bir arada ele alınıp değerlendirilm</w:t>
      </w:r>
      <w:r w:rsidR="00C07EE9" w:rsidRPr="00A31030">
        <w:t xml:space="preserve">iştir. </w:t>
      </w:r>
    </w:p>
    <w:p w:rsidR="00DA381E" w:rsidRPr="00A31030" w:rsidRDefault="00DA381E" w:rsidP="00BE41A3">
      <w:pPr>
        <w:spacing w:after="240"/>
        <w:ind w:firstLine="709"/>
        <w:jc w:val="both"/>
      </w:pPr>
      <w:r w:rsidRPr="00A31030">
        <w:t xml:space="preserve">Söz konusu kuruluşların tamamına ait veriler, istisnai bir açıklama yapılmadığı sürece, “ürün partisi sayısı” bazında sağlanmış verilerdir. </w:t>
      </w:r>
      <w:r w:rsidR="00253957" w:rsidRPr="00A31030">
        <w:t>Her bir ürün parti sayısı</w:t>
      </w:r>
      <w:r w:rsidRPr="00A31030">
        <w:t xml:space="preserve"> aynı marka-model ve seri numarasına sahip </w:t>
      </w:r>
      <w:r w:rsidR="00253957" w:rsidRPr="00A31030">
        <w:t xml:space="preserve">bir </w:t>
      </w:r>
      <w:r w:rsidRPr="00A31030">
        <w:t xml:space="preserve">ürün topluluğunu </w:t>
      </w:r>
      <w:r w:rsidR="00253957" w:rsidRPr="00A31030">
        <w:t>temsil etmektedir.</w:t>
      </w:r>
    </w:p>
    <w:p w:rsidR="00B7389F" w:rsidRPr="00A31030" w:rsidRDefault="001A57B0" w:rsidP="00BE41A3">
      <w:pPr>
        <w:spacing w:after="240"/>
        <w:ind w:firstLine="709"/>
        <w:jc w:val="both"/>
      </w:pPr>
      <w:r w:rsidRPr="00A31030">
        <w:t>Grafikler, istisnai bir açıklama bulunmadığı sürece</w:t>
      </w:r>
      <w:r w:rsidR="004A78A8" w:rsidRPr="004A78A8">
        <w:t>,</w:t>
      </w:r>
      <w:r w:rsidRPr="00A31030">
        <w:t xml:space="preserve"> bu Bakanlıklar tarafından aşağıda belirtilmiş ürün gruplarına ilişkin verileri içermektedir. </w:t>
      </w:r>
      <w:r w:rsidR="00107304" w:rsidRPr="00A31030">
        <w:t>Bu kuruluşların ve</w:t>
      </w:r>
      <w:r w:rsidR="006A5EBC">
        <w:t xml:space="preserve"> </w:t>
      </w:r>
      <w:r w:rsidR="00D752C7" w:rsidRPr="00A31030">
        <w:t xml:space="preserve">belirlenen </w:t>
      </w:r>
      <w:r w:rsidR="001B422C" w:rsidRPr="00A31030">
        <w:t xml:space="preserve">formatta veri sağlayamayan diğer </w:t>
      </w:r>
      <w:r w:rsidR="00107304" w:rsidRPr="00A31030">
        <w:t xml:space="preserve">PGD </w:t>
      </w:r>
      <w:proofErr w:type="spellStart"/>
      <w:r w:rsidR="001B422C" w:rsidRPr="00A31030">
        <w:t>kuruluşların</w:t>
      </w:r>
      <w:r w:rsidR="00107304" w:rsidRPr="00A31030">
        <w:t>ın</w:t>
      </w:r>
      <w:r w:rsidR="005F044A" w:rsidRPr="00A31030">
        <w:t>sorumlu</w:t>
      </w:r>
      <w:proofErr w:type="spellEnd"/>
      <w:r w:rsidR="005F044A" w:rsidRPr="00A31030">
        <w:t xml:space="preserve"> oldukları bazı ürün </w:t>
      </w:r>
      <w:r w:rsidR="00D752C7" w:rsidRPr="00A31030">
        <w:t xml:space="preserve">grupları </w:t>
      </w:r>
      <w:r w:rsidR="00F82D73" w:rsidRPr="00A31030">
        <w:t xml:space="preserve">ise </w:t>
      </w:r>
      <w:r w:rsidR="005F044A" w:rsidRPr="00A31030">
        <w:t>özel koşulları nedeni ile genel değerlendirmenin dışında tutulmuşlar</w:t>
      </w:r>
      <w:r w:rsidR="00107304" w:rsidRPr="00A31030">
        <w:t xml:space="preserve"> ve ayrıca değerlendirilmişlerdir.</w:t>
      </w:r>
      <w:r w:rsidR="005F044A" w:rsidRPr="00A31030">
        <w:t xml:space="preserve"> Bu istisnalara ilişkin açı</w:t>
      </w:r>
      <w:r w:rsidR="006B48B5" w:rsidRPr="00A31030">
        <w:t>klamalar aşağıda yer almaktadır:</w:t>
      </w:r>
    </w:p>
    <w:p w:rsidR="006C651D" w:rsidRDefault="00824DDF" w:rsidP="00824DDF">
      <w:pPr>
        <w:pStyle w:val="ListeParagraf"/>
        <w:numPr>
          <w:ilvl w:val="0"/>
          <w:numId w:val="6"/>
        </w:numPr>
        <w:spacing w:after="240"/>
        <w:jc w:val="both"/>
      </w:pPr>
      <w:proofErr w:type="spellStart"/>
      <w:r w:rsidRPr="00AA15FA">
        <w:rPr>
          <w:rFonts w:cs="Tahoma"/>
          <w:color w:val="000000" w:themeColor="text1"/>
        </w:rPr>
        <w:t>STB’nin</w:t>
      </w:r>
      <w:proofErr w:type="spellEnd"/>
      <w:r w:rsidRPr="00AA15FA">
        <w:rPr>
          <w:rFonts w:cs="Tahoma"/>
          <w:color w:val="000000" w:themeColor="text1"/>
        </w:rPr>
        <w:t xml:space="preserve"> sorumluluğunda olan yasal metroloji ürün grubunda son yıllarda Bakanlıkça 4703 sayılı Kanun </w:t>
      </w:r>
      <w:r w:rsidRPr="002E1F7F">
        <w:rPr>
          <w:rFonts w:cs="Tahoma"/>
          <w:color w:val="000000" w:themeColor="text1"/>
        </w:rPr>
        <w:t xml:space="preserve">kapsamında PGD </w:t>
      </w:r>
      <w:r w:rsidR="0095406E" w:rsidRPr="002E1F7F">
        <w:rPr>
          <w:rFonts w:cs="Tahoma"/>
          <w:color w:val="000000" w:themeColor="text1"/>
        </w:rPr>
        <w:t xml:space="preserve">faaliyetlerinde </w:t>
      </w:r>
      <w:r w:rsidRPr="002E1F7F">
        <w:rPr>
          <w:rFonts w:cs="Tahoma"/>
          <w:color w:val="000000" w:themeColor="text1"/>
        </w:rPr>
        <w:t>toplam denetim sayısı bazında bilgi verilmekte olup, bu durum son derece olumludur.</w:t>
      </w:r>
      <w:r w:rsidRPr="002E1F7F">
        <w:rPr>
          <w:rFonts w:cs="Tahoma"/>
          <w:color w:val="00B050"/>
        </w:rPr>
        <w:t xml:space="preserve"> </w:t>
      </w:r>
      <w:r w:rsidR="00284AA5" w:rsidRPr="002E1F7F">
        <w:rPr>
          <w:rFonts w:cs="Tahoma"/>
        </w:rPr>
        <w:t>Ancak ürün grubun</w:t>
      </w:r>
      <w:r w:rsidR="00E41D79" w:rsidRPr="002E1F7F">
        <w:t>un yapısı gereği</w:t>
      </w:r>
      <w:r w:rsidR="00263B33" w:rsidRPr="002E1F7F">
        <w:t>,</w:t>
      </w:r>
      <w:r w:rsidR="00E41D79" w:rsidRPr="002E1F7F">
        <w:t xml:space="preserve"> bu alanda denetime tabi tutulan her bir</w:t>
      </w:r>
      <w:r w:rsidR="00263B33" w:rsidRPr="002E1F7F">
        <w:t xml:space="preserve"> adet</w:t>
      </w:r>
      <w:r w:rsidR="00E41D79" w:rsidRPr="002E1F7F">
        <w:t xml:space="preserve"> ürün</w:t>
      </w:r>
      <w:r w:rsidR="00263B33" w:rsidRPr="002E1F7F">
        <w:t>,</w:t>
      </w:r>
      <w:r w:rsidR="00E41D79" w:rsidRPr="002E1F7F">
        <w:t xml:space="preserve"> bir ürün partisi olarak</w:t>
      </w:r>
      <w:r w:rsidR="0008139B" w:rsidRPr="002E1F7F">
        <w:t xml:space="preserve"> kayda </w:t>
      </w:r>
      <w:r w:rsidR="00DA7B4C" w:rsidRPr="002E1F7F">
        <w:t>geçirilmekte, bu</w:t>
      </w:r>
      <w:r w:rsidR="00E41D79" w:rsidRPr="002E1F7F">
        <w:t xml:space="preserve"> nedenle Bakanlıkça </w:t>
      </w:r>
      <w:r w:rsidR="00263B33" w:rsidRPr="002E1F7F">
        <w:t xml:space="preserve">yasal metroloji alanında </w:t>
      </w:r>
      <w:r w:rsidR="00E41D79" w:rsidRPr="002E1F7F">
        <w:t>sağlanan</w:t>
      </w:r>
      <w:r w:rsidR="00E41D79" w:rsidRPr="00A31030">
        <w:t xml:space="preserve"> veriler </w:t>
      </w:r>
      <w:r w:rsidR="003943B3" w:rsidRPr="00A31030">
        <w:t xml:space="preserve">nicelik </w:t>
      </w:r>
      <w:r w:rsidR="003943B3" w:rsidRPr="00F4556C">
        <w:rPr>
          <w:rFonts w:cs="Tahoma"/>
        </w:rPr>
        <w:t>olarak rapor</w:t>
      </w:r>
      <w:r w:rsidR="00E41D79" w:rsidRPr="00F4556C">
        <w:rPr>
          <w:rFonts w:cs="Tahoma"/>
        </w:rPr>
        <w:t xml:space="preserve">daki değerlendirmeleri doğrudan etkilemekte ve sağlıklı bir raporlama </w:t>
      </w:r>
      <w:r w:rsidR="004A78A8" w:rsidRPr="00F4556C">
        <w:rPr>
          <w:rFonts w:cs="Tahoma"/>
        </w:rPr>
        <w:t>yapılmasını engellemektedir</w:t>
      </w:r>
      <w:r w:rsidR="00E41D79" w:rsidRPr="00F4556C">
        <w:rPr>
          <w:rFonts w:cs="Tahoma"/>
        </w:rPr>
        <w:t xml:space="preserve">. Bu nedenle </w:t>
      </w:r>
      <w:r w:rsidR="005F0FF2" w:rsidRPr="00F4556C">
        <w:rPr>
          <w:rFonts w:cs="Tahoma"/>
        </w:rPr>
        <w:t>bu ü</w:t>
      </w:r>
      <w:r w:rsidR="00E84B9A" w:rsidRPr="00F4556C">
        <w:rPr>
          <w:rFonts w:cs="Tahoma"/>
        </w:rPr>
        <w:t>rün kategorisine ilişkin verilere grafiklerde yer verilmemiş</w:t>
      </w:r>
      <w:r w:rsidR="00C67557">
        <w:rPr>
          <w:rFonts w:cs="Tahoma"/>
        </w:rPr>
        <w:t xml:space="preserve"> ancak söz konusu ürün grubu verileri ilgili başlık altında ayrıca değerlendirilmiş</w:t>
      </w:r>
      <w:r w:rsidR="00E84B9A" w:rsidRPr="00F4556C">
        <w:rPr>
          <w:rFonts w:cs="Tahoma"/>
        </w:rPr>
        <w:t>tir.</w:t>
      </w:r>
      <w:r w:rsidR="006A5EBC">
        <w:rPr>
          <w:rFonts w:cs="Tahoma"/>
        </w:rPr>
        <w:t xml:space="preserve"> </w:t>
      </w:r>
      <w:r w:rsidR="00C525E1">
        <w:rPr>
          <w:rFonts w:cs="Tahoma"/>
        </w:rPr>
        <w:t xml:space="preserve">Bununla birlikte, daha önceki yıllarda olduğu gibi, Petrol ve LPG ürünlerinin verileri grafiklere yansıtılmamış olup söz konusu veriler ayrıca ele alınmıştır. </w:t>
      </w:r>
    </w:p>
    <w:p w:rsidR="00FD493F" w:rsidRDefault="00CA4A47" w:rsidP="00AA15FA">
      <w:pPr>
        <w:pStyle w:val="ListeParagraf"/>
        <w:numPr>
          <w:ilvl w:val="0"/>
          <w:numId w:val="6"/>
        </w:numPr>
        <w:spacing w:after="240"/>
        <w:jc w:val="both"/>
      </w:pPr>
      <w:r>
        <w:lastRenderedPageBreak/>
        <w:t xml:space="preserve">SB sorumluluğundaki </w:t>
      </w:r>
      <w:proofErr w:type="spellStart"/>
      <w:r>
        <w:t>bi</w:t>
      </w:r>
      <w:r w:rsidR="00C525E1">
        <w:t>y</w:t>
      </w:r>
      <w:r>
        <w:t>osidal</w:t>
      </w:r>
      <w:proofErr w:type="spellEnd"/>
      <w:r>
        <w:t xml:space="preserve"> ürünlere yönelik 2018 yılı verileri</w:t>
      </w:r>
      <w:r w:rsidR="00C525E1">
        <w:t xml:space="preserve"> geçtiğimiz yıl</w:t>
      </w:r>
      <w:r>
        <w:t xml:space="preserve"> temin edilmiş</w:t>
      </w:r>
      <w:r w:rsidR="00C525E1">
        <w:t xml:space="preserve"> olmasına rağmen </w:t>
      </w:r>
      <w:r>
        <w:t xml:space="preserve">daha önceki yıllarda söz konusu ürünlere yönelik veri temin edilemediğinden </w:t>
      </w:r>
      <w:r w:rsidR="00C525E1">
        <w:t xml:space="preserve">ve bu nedenle kıyaslama yapılamayacağından </w:t>
      </w:r>
      <w:r>
        <w:t xml:space="preserve">dolayı söz konusu verilere </w:t>
      </w:r>
      <w:r w:rsidRPr="00F4556C">
        <w:rPr>
          <w:rFonts w:cs="Tahoma"/>
        </w:rPr>
        <w:t>grafiklerde yer veril</w:t>
      </w:r>
      <w:r w:rsidR="00C525E1">
        <w:rPr>
          <w:rFonts w:cs="Tahoma"/>
        </w:rPr>
        <w:t>e</w:t>
      </w:r>
      <w:r w:rsidRPr="00F4556C">
        <w:rPr>
          <w:rFonts w:cs="Tahoma"/>
        </w:rPr>
        <w:t>memiş</w:t>
      </w:r>
      <w:r w:rsidR="00C525E1">
        <w:rPr>
          <w:rFonts w:cs="Tahoma"/>
        </w:rPr>
        <w:t>ti. A</w:t>
      </w:r>
      <w:r>
        <w:rPr>
          <w:rFonts w:cs="Tahoma"/>
        </w:rPr>
        <w:t>ncak söz konusu ürün grubu verileri</w:t>
      </w:r>
      <w:r w:rsidR="00C525E1">
        <w:rPr>
          <w:rFonts w:cs="Tahoma"/>
        </w:rPr>
        <w:t xml:space="preserve"> son iki yıldır temin edilebildiği için 2019 Yılı PGD Raporu’nda yer alan grafiklerde ilgili veriler</w:t>
      </w:r>
      <w:r>
        <w:rPr>
          <w:rFonts w:cs="Tahoma"/>
        </w:rPr>
        <w:t xml:space="preserve"> değerlendirilmiş</w:t>
      </w:r>
      <w:r w:rsidRPr="00F4556C">
        <w:rPr>
          <w:rFonts w:cs="Tahoma"/>
        </w:rPr>
        <w:t>tir.</w:t>
      </w:r>
      <w:r w:rsidR="00AF18ED">
        <w:rPr>
          <w:rFonts w:cs="Tahoma"/>
        </w:rPr>
        <w:t xml:space="preserve"> Bu nedenle 2018 Yılı PGD Raporu verilerine </w:t>
      </w:r>
      <w:proofErr w:type="spellStart"/>
      <w:r w:rsidR="00AF18ED">
        <w:rPr>
          <w:rFonts w:cs="Tahoma"/>
        </w:rPr>
        <w:t>biyosidal</w:t>
      </w:r>
      <w:proofErr w:type="spellEnd"/>
      <w:r w:rsidR="00AF18ED">
        <w:rPr>
          <w:rFonts w:cs="Tahoma"/>
        </w:rPr>
        <w:t xml:space="preserve"> ürünler ürün grubunun verileri eklenerek 2018 yılı verileri </w:t>
      </w:r>
      <w:r w:rsidR="009F3CCE">
        <w:rPr>
          <w:rFonts w:cs="Tahoma"/>
        </w:rPr>
        <w:t xml:space="preserve">raporda yeniden </w:t>
      </w:r>
      <w:r w:rsidR="00AF18ED">
        <w:rPr>
          <w:rFonts w:cs="Tahoma"/>
        </w:rPr>
        <w:t>oluşturulmuştur.</w:t>
      </w:r>
    </w:p>
    <w:p w:rsidR="00FD493F" w:rsidRDefault="00CF1272" w:rsidP="00AA15FA">
      <w:pPr>
        <w:pStyle w:val="ListeParagraf"/>
        <w:numPr>
          <w:ilvl w:val="0"/>
          <w:numId w:val="6"/>
        </w:numPr>
        <w:spacing w:after="240"/>
        <w:jc w:val="both"/>
      </w:pPr>
      <w:r w:rsidRPr="00A31030">
        <w:t xml:space="preserve">ÇŞB </w:t>
      </w:r>
      <w:r w:rsidR="00674030" w:rsidRPr="00A31030">
        <w:t xml:space="preserve">sorumluluğundaki </w:t>
      </w:r>
      <w:r w:rsidR="00BE10C8" w:rsidRPr="00A31030">
        <w:t>katı yakıtlar ürün grubu</w:t>
      </w:r>
      <w:r w:rsidR="0008139B" w:rsidRPr="00A31030">
        <w:t>,</w:t>
      </w:r>
      <w:r w:rsidR="00620C0A">
        <w:t xml:space="preserve"> </w:t>
      </w:r>
      <w:r w:rsidR="00674030" w:rsidRPr="00A31030">
        <w:t xml:space="preserve">yapısı gereği parti sayısı </w:t>
      </w:r>
      <w:r w:rsidR="00BE10C8" w:rsidRPr="00A31030">
        <w:t xml:space="preserve">olarak ifade edilemediğinden, </w:t>
      </w:r>
      <w:r w:rsidRPr="00A31030">
        <w:t>ürün parti</w:t>
      </w:r>
      <w:r w:rsidR="00BE10C8" w:rsidRPr="00A31030">
        <w:t>si</w:t>
      </w:r>
      <w:r w:rsidRPr="00A31030">
        <w:t xml:space="preserve"> bazında veri sağlanmış olan diğer ürün grupları ile bir arada değerlendirilememiş ve grafiklere yansıtılamamış, ancak metin içerisinde bu veriler de değerlendirmeye alınmıştır.</w:t>
      </w:r>
      <w:r w:rsidR="00BE10C8" w:rsidRPr="00A31030">
        <w:t xml:space="preserve"> Genel değerlendirme ve grafiklere </w:t>
      </w:r>
      <w:proofErr w:type="spellStart"/>
      <w:r w:rsidR="00BE10C8" w:rsidRPr="00A31030">
        <w:t>ÇŞB’nin</w:t>
      </w:r>
      <w:proofErr w:type="spellEnd"/>
      <w:r w:rsidR="00BE10C8" w:rsidRPr="00A31030">
        <w:t xml:space="preserve"> yalnızca yapı malzemelerine ilişkin verileri </w:t>
      </w:r>
      <w:r w:rsidR="00567E45" w:rsidRPr="00A31030">
        <w:t>dâhil</w:t>
      </w:r>
      <w:r w:rsidR="00BE10C8" w:rsidRPr="00A31030">
        <w:t xml:space="preserve"> edilmiştir.</w:t>
      </w:r>
    </w:p>
    <w:p w:rsidR="00FD493F" w:rsidRDefault="004D3DB9" w:rsidP="00AA15FA">
      <w:pPr>
        <w:pStyle w:val="ListeParagraf"/>
        <w:numPr>
          <w:ilvl w:val="0"/>
          <w:numId w:val="6"/>
        </w:numPr>
        <w:autoSpaceDE w:val="0"/>
        <w:autoSpaceDN w:val="0"/>
        <w:adjustRightInd w:val="0"/>
        <w:spacing w:after="240"/>
        <w:jc w:val="both"/>
      </w:pPr>
      <w:r w:rsidRPr="00A31030">
        <w:t>EPDK</w:t>
      </w:r>
      <w:r w:rsidR="004C5A16" w:rsidRPr="00A31030">
        <w:t xml:space="preserve"> sorumluluğundaki akaryakıtlar ve sıvılaştırılmış petrol gazları (</w:t>
      </w:r>
      <w:r w:rsidR="00856F92">
        <w:t>LPG</w:t>
      </w:r>
      <w:r w:rsidR="004C5A16" w:rsidRPr="00A31030">
        <w:t>)</w:t>
      </w:r>
      <w:r w:rsidR="00620C0A">
        <w:t xml:space="preserve"> </w:t>
      </w:r>
      <w:r w:rsidR="004C5A16" w:rsidRPr="00A31030">
        <w:t>ürün gru</w:t>
      </w:r>
      <w:r w:rsidR="00287BAA">
        <w:t xml:space="preserve">bunda </w:t>
      </w:r>
      <w:r w:rsidR="004C5A16" w:rsidRPr="00A31030">
        <w:t>201</w:t>
      </w:r>
      <w:r w:rsidR="00C525E1">
        <w:t>9</w:t>
      </w:r>
      <w:r w:rsidR="004C5A16" w:rsidRPr="00A31030">
        <w:t xml:space="preserve"> yılı verileri sağlanmamış</w:t>
      </w:r>
      <w:r w:rsidR="00BF03E0">
        <w:t>,</w:t>
      </w:r>
      <w:r w:rsidR="004C5A16" w:rsidRPr="00A31030">
        <w:t xml:space="preserve"> bu nedenle </w:t>
      </w:r>
      <w:r w:rsidR="00F4556C">
        <w:t>EPDK’ya</w:t>
      </w:r>
      <w:r w:rsidR="004C5A16" w:rsidRPr="00A31030">
        <w:t xml:space="preserve"> raporda yer verilememiştir.</w:t>
      </w:r>
    </w:p>
    <w:p w:rsidR="00FD493F" w:rsidRDefault="001519B3" w:rsidP="00AA15FA">
      <w:pPr>
        <w:pStyle w:val="ListeParagraf"/>
        <w:numPr>
          <w:ilvl w:val="0"/>
          <w:numId w:val="6"/>
        </w:numPr>
        <w:autoSpaceDE w:val="0"/>
        <w:autoSpaceDN w:val="0"/>
        <w:adjustRightInd w:val="0"/>
        <w:spacing w:after="240"/>
        <w:jc w:val="both"/>
      </w:pPr>
      <w:r>
        <w:t xml:space="preserve">24/12/2017 tarih ve 30280 sayılı Resmi </w:t>
      </w:r>
      <w:proofErr w:type="spellStart"/>
      <w:r>
        <w:t>Gazete’de</w:t>
      </w:r>
      <w:proofErr w:type="spellEnd"/>
      <w:r>
        <w:t xml:space="preserve"> yayımlanan </w:t>
      </w:r>
      <w:r w:rsidRPr="001519B3">
        <w:t xml:space="preserve">696 Sayılı Kanun Hükmünde Kararname ile TAPDK kapatılarak görevleri </w:t>
      </w:r>
      <w:proofErr w:type="spellStart"/>
      <w:r w:rsidR="00475538">
        <w:t>TO</w:t>
      </w:r>
      <w:r w:rsidR="00287BAA">
        <w:t>B’</w:t>
      </w:r>
      <w:r w:rsidR="00620C0A">
        <w:t>a</w:t>
      </w:r>
      <w:proofErr w:type="spellEnd"/>
      <w:r w:rsidR="00620C0A">
        <w:t xml:space="preserve"> </w:t>
      </w:r>
      <w:r w:rsidR="004A78A8" w:rsidRPr="00ED0D0D">
        <w:rPr>
          <w:color w:val="000000" w:themeColor="text1"/>
        </w:rPr>
        <w:t>devredilmiştir</w:t>
      </w:r>
      <w:r w:rsidRPr="00ED0D0D">
        <w:rPr>
          <w:color w:val="000000" w:themeColor="text1"/>
        </w:rPr>
        <w:t>.</w:t>
      </w:r>
      <w:r w:rsidR="00287BAA" w:rsidRPr="00ED0D0D">
        <w:rPr>
          <w:color w:val="000000" w:themeColor="text1"/>
        </w:rPr>
        <w:t xml:space="preserve"> Bu </w:t>
      </w:r>
      <w:proofErr w:type="spellStart"/>
      <w:proofErr w:type="gramStart"/>
      <w:r w:rsidR="00287BAA" w:rsidRPr="00ED0D0D">
        <w:rPr>
          <w:color w:val="000000" w:themeColor="text1"/>
        </w:rPr>
        <w:t>kapsamda</w:t>
      </w:r>
      <w:r w:rsidR="00D84A09" w:rsidRPr="00ED0D0D">
        <w:rPr>
          <w:color w:val="000000" w:themeColor="text1"/>
        </w:rPr>
        <w:t>,</w:t>
      </w:r>
      <w:r w:rsidR="00475538" w:rsidRPr="00ED0D0D">
        <w:rPr>
          <w:color w:val="000000" w:themeColor="text1"/>
        </w:rPr>
        <w:t>TOB</w:t>
      </w:r>
      <w:proofErr w:type="spellEnd"/>
      <w:proofErr w:type="gramEnd"/>
      <w:r w:rsidR="00287BAA" w:rsidRPr="00ED0D0D">
        <w:rPr>
          <w:color w:val="000000" w:themeColor="text1"/>
        </w:rPr>
        <w:t xml:space="preserve"> sorumluluğundaki tütün </w:t>
      </w:r>
      <w:proofErr w:type="spellStart"/>
      <w:r w:rsidR="00287BAA" w:rsidRPr="00ED0D0D">
        <w:rPr>
          <w:color w:val="000000" w:themeColor="text1"/>
        </w:rPr>
        <w:t>mamülleri</w:t>
      </w:r>
      <w:proofErr w:type="spellEnd"/>
      <w:r w:rsidR="00287BAA" w:rsidRPr="00ED0D0D">
        <w:rPr>
          <w:color w:val="000000" w:themeColor="text1"/>
        </w:rPr>
        <w:t xml:space="preserve"> ve alkollü içkiler ürün gruplarında 201</w:t>
      </w:r>
      <w:r w:rsidR="00C525E1" w:rsidRPr="00ED0D0D">
        <w:rPr>
          <w:color w:val="000000" w:themeColor="text1"/>
        </w:rPr>
        <w:t>9</w:t>
      </w:r>
      <w:r w:rsidR="00287BAA" w:rsidRPr="00ED0D0D">
        <w:rPr>
          <w:color w:val="000000" w:themeColor="text1"/>
        </w:rPr>
        <w:t xml:space="preserve"> yılı verileri </w:t>
      </w:r>
      <w:r w:rsidR="00C525E1" w:rsidRPr="00ED0D0D">
        <w:rPr>
          <w:color w:val="000000" w:themeColor="text1"/>
        </w:rPr>
        <w:t>anılan Bakanlıkça temin edilmiş olup söz konusu veriler raporda</w:t>
      </w:r>
      <w:r w:rsidR="00ED0D0D" w:rsidRPr="00ED0D0D">
        <w:rPr>
          <w:color w:val="000000" w:themeColor="text1"/>
        </w:rPr>
        <w:t xml:space="preserve"> ayrıca</w:t>
      </w:r>
      <w:r w:rsidR="00C525E1" w:rsidRPr="00ED0D0D">
        <w:rPr>
          <w:color w:val="000000" w:themeColor="text1"/>
        </w:rPr>
        <w:t xml:space="preserve"> değerlendirilmiştir.</w:t>
      </w:r>
    </w:p>
    <w:p w:rsidR="005A2556" w:rsidRPr="00A31030" w:rsidRDefault="0034047A" w:rsidP="00BE41A3">
      <w:pPr>
        <w:autoSpaceDE w:val="0"/>
        <w:autoSpaceDN w:val="0"/>
        <w:adjustRightInd w:val="0"/>
        <w:spacing w:after="240"/>
        <w:ind w:firstLine="709"/>
        <w:jc w:val="both"/>
      </w:pPr>
      <w:r w:rsidRPr="00A31030">
        <w:t xml:space="preserve">Bununla birlikte, </w:t>
      </w:r>
      <w:r w:rsidR="009D6E16" w:rsidRPr="00A31030">
        <w:t xml:space="preserve">grafiklere yansıtılamayan ve genel değerlendirmeye </w:t>
      </w:r>
      <w:proofErr w:type="gramStart"/>
      <w:r w:rsidR="009D6E16" w:rsidRPr="00A31030">
        <w:t>dahil</w:t>
      </w:r>
      <w:proofErr w:type="gramEnd"/>
      <w:r w:rsidR="009D6E16" w:rsidRPr="00A31030">
        <w:t xml:space="preserve"> edilemeyen söz konusu</w:t>
      </w:r>
      <w:r w:rsidR="00620C0A">
        <w:t xml:space="preserve"> </w:t>
      </w:r>
      <w:r w:rsidR="005A2556" w:rsidRPr="00A31030">
        <w:t>veriler rapor içerisinde ayrıca değerlendirilmiştir.</w:t>
      </w:r>
    </w:p>
    <w:p w:rsidR="00A31030" w:rsidRPr="00863337" w:rsidRDefault="005A3510" w:rsidP="00863337">
      <w:pPr>
        <w:autoSpaceDE w:val="0"/>
        <w:autoSpaceDN w:val="0"/>
        <w:adjustRightInd w:val="0"/>
        <w:spacing w:after="240"/>
        <w:ind w:firstLine="709"/>
        <w:jc w:val="both"/>
      </w:pPr>
      <w:r w:rsidRPr="00A31030">
        <w:t xml:space="preserve">Rapor ekinde tablolar halinde sunulan verilere dair açıklamalar aşağıda yer almaktadır. </w:t>
      </w:r>
    </w:p>
    <w:p w:rsidR="002D18A7" w:rsidRPr="00A31030" w:rsidRDefault="002D18A7" w:rsidP="00BE41A3">
      <w:pPr>
        <w:autoSpaceDE w:val="0"/>
        <w:autoSpaceDN w:val="0"/>
        <w:adjustRightInd w:val="0"/>
        <w:spacing w:after="240"/>
        <w:ind w:firstLine="709"/>
        <w:jc w:val="both"/>
        <w:rPr>
          <w:b/>
          <w:bCs/>
        </w:rPr>
      </w:pPr>
      <w:r w:rsidRPr="00A31030">
        <w:rPr>
          <w:b/>
          <w:bCs/>
        </w:rPr>
        <w:t xml:space="preserve">1. Girdiler: </w:t>
      </w:r>
    </w:p>
    <w:p w:rsidR="002D18A7" w:rsidRPr="00A31030" w:rsidRDefault="002D18A7" w:rsidP="00BE41A3">
      <w:pPr>
        <w:autoSpaceDE w:val="0"/>
        <w:autoSpaceDN w:val="0"/>
        <w:adjustRightInd w:val="0"/>
        <w:spacing w:after="240"/>
        <w:ind w:firstLine="709"/>
        <w:jc w:val="both"/>
      </w:pPr>
      <w:r w:rsidRPr="00A31030">
        <w:t>a) Bütçe ve denetim elemanı sayısı</w:t>
      </w:r>
      <w:r w:rsidR="00B73055" w:rsidRPr="00A31030">
        <w:t>nın</w:t>
      </w:r>
      <w:r w:rsidR="00620C0A">
        <w:t xml:space="preserve"> </w:t>
      </w:r>
      <w:r w:rsidR="00B73055" w:rsidRPr="00A31030">
        <w:t>gösterildiği</w:t>
      </w:r>
      <w:r w:rsidRPr="00A31030">
        <w:t xml:space="preserve"> tablo (Tablo-1)  </w:t>
      </w:r>
    </w:p>
    <w:p w:rsidR="002D18A7" w:rsidRPr="00A31030" w:rsidRDefault="002D18A7" w:rsidP="00BE41A3">
      <w:pPr>
        <w:autoSpaceDE w:val="0"/>
        <w:autoSpaceDN w:val="0"/>
        <w:adjustRightInd w:val="0"/>
        <w:spacing w:after="240"/>
        <w:ind w:firstLine="709"/>
        <w:jc w:val="both"/>
      </w:pPr>
      <w:r w:rsidRPr="00A31030">
        <w:t xml:space="preserve">b) Yetkili kuruluşları belli bir üründe PGD faaliyeti için harekete geçiren </w:t>
      </w:r>
      <w:r w:rsidR="004D3DB9" w:rsidRPr="00A31030">
        <w:t>şikâyet</w:t>
      </w:r>
      <w:r w:rsidRPr="00A31030">
        <w:t>/ihbar bilgileri, kaza/yaralanma verileri ile inter</w:t>
      </w:r>
      <w:r w:rsidR="0099149D">
        <w:t xml:space="preserve">net satışlarının yer </w:t>
      </w:r>
      <w:r w:rsidR="0099149D" w:rsidRPr="00F4556C">
        <w:t xml:space="preserve">aldığı </w:t>
      </w:r>
      <w:r w:rsidRPr="00F4556C">
        <w:t>tablo</w:t>
      </w:r>
      <w:r w:rsidRPr="00A31030">
        <w:t xml:space="preserve"> (Tablo-</w:t>
      </w:r>
      <w:r w:rsidR="00B73055" w:rsidRPr="00A31030">
        <w:t>2</w:t>
      </w:r>
      <w:r w:rsidRPr="00A31030">
        <w:t>)</w:t>
      </w:r>
    </w:p>
    <w:p w:rsidR="002D18A7" w:rsidRPr="00A31030" w:rsidRDefault="002D18A7" w:rsidP="00BE41A3">
      <w:pPr>
        <w:autoSpaceDE w:val="0"/>
        <w:autoSpaceDN w:val="0"/>
        <w:adjustRightInd w:val="0"/>
        <w:spacing w:after="240"/>
        <w:ind w:firstLine="709"/>
        <w:jc w:val="both"/>
      </w:pPr>
      <w:r w:rsidRPr="00A31030">
        <w:rPr>
          <w:b/>
          <w:bCs/>
        </w:rPr>
        <w:t>2. Çıktılar:</w:t>
      </w:r>
      <w:r w:rsidRPr="00A31030">
        <w:t xml:space="preserve"> Gerçekleştirilen denetimler, denetimlerin içeriği, denetimlerde elde edilen bulgular ve uygulanan ce</w:t>
      </w:r>
      <w:r w:rsidR="00B73055" w:rsidRPr="00A31030">
        <w:t>zai yaptırımlar tablosu (Tablo-3</w:t>
      </w:r>
      <w:r w:rsidRPr="00A31030">
        <w:t>)</w:t>
      </w:r>
    </w:p>
    <w:p w:rsidR="002D18A7" w:rsidRPr="00A31030" w:rsidRDefault="002D18A7" w:rsidP="00BE41A3">
      <w:pPr>
        <w:autoSpaceDE w:val="0"/>
        <w:autoSpaceDN w:val="0"/>
        <w:adjustRightInd w:val="0"/>
        <w:spacing w:after="240"/>
        <w:ind w:firstLine="709"/>
        <w:jc w:val="both"/>
      </w:pPr>
      <w:r w:rsidRPr="00A31030">
        <w:rPr>
          <w:b/>
          <w:bCs/>
        </w:rPr>
        <w:t>3. Etki/Sonuçlar:</w:t>
      </w:r>
      <w:r w:rsidRPr="00A31030">
        <w:t xml:space="preserve"> Güvensizliği nedeniyle piyasaya arzı durdurulan, piyasadan toplatılan, imha edilen veya düzeltici önlem uygulanan</w:t>
      </w:r>
      <w:r w:rsidR="00B73055" w:rsidRPr="00A31030">
        <w:t xml:space="preserve"> ürünlere ilişkin tablo (Tablo-4</w:t>
      </w:r>
      <w:r w:rsidRPr="00A31030">
        <w:t>)</w:t>
      </w:r>
    </w:p>
    <w:p w:rsidR="00A95BCF" w:rsidRPr="000C20D5" w:rsidRDefault="00A95BCF" w:rsidP="00BE41A3">
      <w:pPr>
        <w:ind w:firstLine="709"/>
        <w:jc w:val="center"/>
        <w:rPr>
          <w:b/>
          <w:color w:val="FF0000"/>
        </w:rPr>
      </w:pPr>
    </w:p>
    <w:p w:rsidR="00227193" w:rsidRPr="000C20D5" w:rsidRDefault="00227193" w:rsidP="00BE41A3">
      <w:pPr>
        <w:ind w:firstLine="709"/>
        <w:jc w:val="center"/>
        <w:rPr>
          <w:b/>
          <w:color w:val="FF0000"/>
        </w:rPr>
      </w:pPr>
    </w:p>
    <w:p w:rsidR="00227193" w:rsidRPr="000C20D5" w:rsidRDefault="00227193" w:rsidP="00BE41A3">
      <w:pPr>
        <w:ind w:firstLine="709"/>
        <w:jc w:val="center"/>
        <w:rPr>
          <w:b/>
          <w:color w:val="FF0000"/>
        </w:rPr>
      </w:pPr>
    </w:p>
    <w:p w:rsidR="00227193" w:rsidRPr="000C20D5" w:rsidRDefault="00227193" w:rsidP="00BE41A3">
      <w:pPr>
        <w:ind w:firstLine="709"/>
        <w:jc w:val="center"/>
        <w:rPr>
          <w:b/>
          <w:color w:val="FF0000"/>
        </w:rPr>
      </w:pPr>
    </w:p>
    <w:p w:rsidR="00227193" w:rsidRPr="000C20D5" w:rsidRDefault="00227193" w:rsidP="00BE41A3">
      <w:pPr>
        <w:ind w:firstLine="709"/>
        <w:jc w:val="center"/>
        <w:rPr>
          <w:b/>
          <w:color w:val="FF0000"/>
        </w:rPr>
      </w:pPr>
    </w:p>
    <w:p w:rsidR="00227193" w:rsidRPr="000C20D5" w:rsidRDefault="00227193" w:rsidP="00BE41A3">
      <w:pPr>
        <w:ind w:firstLine="709"/>
        <w:jc w:val="center"/>
        <w:rPr>
          <w:b/>
          <w:color w:val="FF0000"/>
        </w:rPr>
      </w:pPr>
    </w:p>
    <w:p w:rsidR="00ED0D0D" w:rsidRDefault="00ED0D0D" w:rsidP="00ED0D0D">
      <w:pPr>
        <w:pStyle w:val="Normal1"/>
        <w:spacing w:before="0" w:beforeAutospacing="0" w:after="0" w:afterAutospacing="0"/>
        <w:jc w:val="both"/>
        <w:rPr>
          <w:color w:val="000000" w:themeColor="text1"/>
        </w:rPr>
      </w:pPr>
    </w:p>
    <w:p w:rsidR="00AA15FA" w:rsidRPr="00C525E1" w:rsidRDefault="00AA15FA" w:rsidP="00ED0D0D">
      <w:pPr>
        <w:pStyle w:val="Normal1"/>
        <w:spacing w:before="0" w:beforeAutospacing="0" w:after="0" w:afterAutospacing="0"/>
        <w:jc w:val="both"/>
        <w:rPr>
          <w:color w:val="000000" w:themeColor="text1"/>
        </w:rPr>
      </w:pPr>
    </w:p>
    <w:p w:rsidR="00ED0D0D" w:rsidRPr="00C525E1" w:rsidRDefault="00ED0D0D" w:rsidP="00ED0D0D">
      <w:pPr>
        <w:pStyle w:val="Normal1"/>
        <w:spacing w:before="0" w:beforeAutospacing="0" w:after="0" w:afterAutospacing="0"/>
        <w:ind w:firstLine="708"/>
        <w:jc w:val="both"/>
        <w:rPr>
          <w:rFonts w:eastAsia="Calibri"/>
          <w:color w:val="000000" w:themeColor="text1"/>
        </w:rPr>
      </w:pPr>
    </w:p>
    <w:p w:rsidR="00863337" w:rsidRDefault="00863337" w:rsidP="00ED0D0D">
      <w:pPr>
        <w:rPr>
          <w:b/>
          <w:color w:val="FF0000"/>
        </w:rPr>
      </w:pPr>
    </w:p>
    <w:p w:rsidR="00A95BCF" w:rsidRPr="000C20D5" w:rsidRDefault="00A95BCF" w:rsidP="00BE41A3">
      <w:pPr>
        <w:ind w:firstLine="709"/>
        <w:jc w:val="center"/>
        <w:rPr>
          <w:b/>
          <w:color w:val="FF0000"/>
        </w:rPr>
      </w:pPr>
    </w:p>
    <w:p w:rsidR="00CA3FF9" w:rsidRPr="006D3C51" w:rsidRDefault="00567E45" w:rsidP="006D3C51">
      <w:pPr>
        <w:pStyle w:val="Balk1"/>
        <w:numPr>
          <w:ilvl w:val="0"/>
          <w:numId w:val="37"/>
        </w:numPr>
      </w:pPr>
      <w:bookmarkStart w:id="3" w:name="_Toc4892856"/>
      <w:r w:rsidRPr="006D3C51">
        <w:lastRenderedPageBreak/>
        <w:t>201</w:t>
      </w:r>
      <w:r w:rsidR="00154019">
        <w:t>9</w:t>
      </w:r>
      <w:r w:rsidR="00620C0A">
        <w:t xml:space="preserve"> </w:t>
      </w:r>
      <w:r w:rsidR="00FB59B6" w:rsidRPr="006D3C51">
        <w:t>YILINDA PGD ALANINDA KAYDEDİLEN ÖNEMLİ GELİŞMELER</w:t>
      </w:r>
      <w:bookmarkEnd w:id="3"/>
    </w:p>
    <w:p w:rsidR="00D83D19" w:rsidRPr="00D83D19" w:rsidRDefault="00D83D19" w:rsidP="00D83D19"/>
    <w:p w:rsidR="00F94958" w:rsidRPr="0039483D" w:rsidRDefault="00F94958" w:rsidP="00D83D19">
      <w:pPr>
        <w:autoSpaceDE w:val="0"/>
        <w:autoSpaceDN w:val="0"/>
        <w:adjustRightInd w:val="0"/>
        <w:ind w:firstLine="708"/>
        <w:contextualSpacing/>
        <w:jc w:val="both"/>
        <w:rPr>
          <w:color w:val="000000" w:themeColor="text1"/>
        </w:rPr>
      </w:pPr>
      <w:r w:rsidRPr="0039483D">
        <w:rPr>
          <w:color w:val="000000" w:themeColor="text1"/>
        </w:rPr>
        <w:t xml:space="preserve">Piyasadaki denetimler, Bakanlığımız koordinasyonunda 9 ayrı uygulayıcı kuruluş tarafından PGD uygulamaları çerçevesinde yürütülmektedir.  Bu denetimlerle hem insanımızın sağlığı ve güvenliği korunmakta hem de kurallara uyan üreticilerimizin haksız rekabete maruz kalması önlenmektedir. </w:t>
      </w:r>
    </w:p>
    <w:p w:rsidR="005E285A" w:rsidRDefault="005E285A" w:rsidP="00F94958">
      <w:pPr>
        <w:pStyle w:val="Default"/>
        <w:jc w:val="both"/>
        <w:rPr>
          <w:rFonts w:ascii="Times New Roman" w:hAnsi="Times New Roman" w:cs="Times New Roman"/>
          <w:color w:val="000000" w:themeColor="text1"/>
        </w:rPr>
      </w:pPr>
    </w:p>
    <w:p w:rsidR="00F94958" w:rsidRPr="00B43442" w:rsidRDefault="00F94958" w:rsidP="00B43442">
      <w:pPr>
        <w:pStyle w:val="Normal1"/>
        <w:spacing w:before="0" w:beforeAutospacing="0" w:after="0" w:afterAutospacing="0"/>
        <w:ind w:firstLine="708"/>
        <w:jc w:val="both"/>
        <w:rPr>
          <w:rFonts w:eastAsia="Calibri"/>
          <w:color w:val="000000" w:themeColor="text1"/>
        </w:rPr>
      </w:pPr>
      <w:r w:rsidRPr="0039483D">
        <w:rPr>
          <w:color w:val="000000" w:themeColor="text1"/>
        </w:rPr>
        <w:t xml:space="preserve">Bakanlar ve Kurum Başkanları düzeyinde temsil edilen “PGD ve Ürün Güvenliği Değerlendirme Kurulu”  Ticaret Bakanı ev sahipliğinde toplanmakta ve bu alanda ortak kararlar almaktadır. </w:t>
      </w:r>
      <w:r w:rsidRPr="00ED0D0D">
        <w:rPr>
          <w:color w:val="000000" w:themeColor="text1"/>
        </w:rPr>
        <w:t xml:space="preserve">Son olarak, </w:t>
      </w:r>
      <w:r w:rsidR="00ED0D0D" w:rsidRPr="00ED0D0D">
        <w:rPr>
          <w:color w:val="000000" w:themeColor="text1"/>
        </w:rPr>
        <w:t xml:space="preserve">27 </w:t>
      </w:r>
      <w:r w:rsidR="00ED0D0D" w:rsidRPr="00C525E1">
        <w:rPr>
          <w:color w:val="000000" w:themeColor="text1"/>
        </w:rPr>
        <w:t xml:space="preserve">Şubat 2019 tarihinde Sayın Bakanımız başkanlığında Sanayi ve Teknoloji Bakanı Sayın Mustafa VARANK ve PGD faaliyetlerinden sorumlu diğer kuruluşların üst düzey temsilcilerinin katılımıyla gerçekleştirilen PGD ve Ürün Güvenliği Değerlendirme Kurulu’nda çalışmalara işbirliği içerisinde devam edilmesi kararı alınmıştır. Bunun yanında yine bahsi geçen Kurul’da Ulusal PGD Strateji Belgesi 2019-2021 kabul edilmiştir.  </w:t>
      </w:r>
      <w:r w:rsidR="00ED0D0D" w:rsidRPr="00C525E1">
        <w:rPr>
          <w:rFonts w:eastAsia="Calibri"/>
          <w:color w:val="000000" w:themeColor="text1"/>
          <w:lang w:eastAsia="en-US"/>
        </w:rPr>
        <w:t>Bu kapsamda, Ulusal PGD Strateji Belgesi 2019-2021 ekinde yer alan eylem planlarının ivedilikle hayata geçirilmesi için Bakanlığımız koordinasyonunda çalışmalar yürütülmektedir.</w:t>
      </w:r>
    </w:p>
    <w:p w:rsidR="00F94958" w:rsidRPr="0039483D" w:rsidRDefault="00F94958" w:rsidP="00F94958">
      <w:pPr>
        <w:pStyle w:val="Default"/>
        <w:jc w:val="both"/>
        <w:rPr>
          <w:rFonts w:ascii="Times New Roman" w:hAnsi="Times New Roman" w:cs="Times New Roman"/>
          <w:color w:val="000000" w:themeColor="text1"/>
        </w:rPr>
      </w:pPr>
    </w:p>
    <w:p w:rsidR="00F94958" w:rsidRPr="0039483D" w:rsidRDefault="004F003E" w:rsidP="00D83D19">
      <w:pPr>
        <w:pStyle w:val="Default"/>
        <w:ind w:firstLine="708"/>
        <w:jc w:val="both"/>
        <w:rPr>
          <w:rFonts w:ascii="Times New Roman" w:hAnsi="Times New Roman" w:cs="Times New Roman"/>
          <w:color w:val="000000" w:themeColor="text1"/>
        </w:rPr>
      </w:pPr>
      <w:r w:rsidRPr="0039483D">
        <w:rPr>
          <w:rFonts w:ascii="Times New Roman" w:hAnsi="Times New Roman" w:cs="Times New Roman"/>
          <w:color w:val="000000" w:themeColor="text1"/>
        </w:rPr>
        <w:t>Ü</w:t>
      </w:r>
      <w:r w:rsidR="00F94958" w:rsidRPr="0039483D">
        <w:rPr>
          <w:rFonts w:ascii="Times New Roman" w:hAnsi="Times New Roman" w:cs="Times New Roman"/>
          <w:color w:val="000000" w:themeColor="text1"/>
        </w:rPr>
        <w:t>lkemizde PGD uygulama sonuçlarını, tüm tarafların bilgisine sunmak, gelinen aşamayı ve sorunları ortaya koyarak çözüm önerileri getirmek amacıyla, yetkili kuruluşlardan temin edilen veriler temelinde yıllık PGD raporları da Bakanlığımızca hazırlanmakta ve yayımlanmaktadır. Bu raporlar, sistemin yapısı gereği bir önceki yılın verilerine dayanmaktadır. Bu çerçevede hazırlanan “201</w:t>
      </w:r>
      <w:r w:rsidR="00154019">
        <w:rPr>
          <w:rFonts w:ascii="Times New Roman" w:hAnsi="Times New Roman" w:cs="Times New Roman"/>
          <w:color w:val="000000" w:themeColor="text1"/>
        </w:rPr>
        <w:t>8</w:t>
      </w:r>
      <w:r w:rsidR="00F94958" w:rsidRPr="0039483D">
        <w:rPr>
          <w:rFonts w:ascii="Times New Roman" w:hAnsi="Times New Roman" w:cs="Times New Roman"/>
          <w:color w:val="000000" w:themeColor="text1"/>
        </w:rPr>
        <w:t xml:space="preserve"> Yılı Piyasa Gözetimi ve Denetimi Raporu”  201</w:t>
      </w:r>
      <w:r w:rsidR="00154019">
        <w:rPr>
          <w:rFonts w:ascii="Times New Roman" w:hAnsi="Times New Roman" w:cs="Times New Roman"/>
          <w:color w:val="000000" w:themeColor="text1"/>
        </w:rPr>
        <w:t>9</w:t>
      </w:r>
      <w:r w:rsidR="00F94958" w:rsidRPr="0039483D">
        <w:rPr>
          <w:rFonts w:ascii="Times New Roman" w:hAnsi="Times New Roman" w:cs="Times New Roman"/>
          <w:color w:val="000000" w:themeColor="text1"/>
        </w:rPr>
        <w:t xml:space="preserve"> yılının ikinci yarısında Bakanlığımız internet sayfası aracılığıyla kamuoyu ile paylaşılmıştır.</w:t>
      </w:r>
    </w:p>
    <w:p w:rsidR="00F94958" w:rsidRPr="0039483D" w:rsidRDefault="00F94958" w:rsidP="00F94958">
      <w:pPr>
        <w:pStyle w:val="Default"/>
        <w:jc w:val="both"/>
        <w:rPr>
          <w:rFonts w:ascii="Times New Roman" w:hAnsi="Times New Roman" w:cs="Times New Roman"/>
          <w:color w:val="000000" w:themeColor="text1"/>
        </w:rPr>
      </w:pPr>
    </w:p>
    <w:p w:rsidR="00F94958" w:rsidRPr="0039483D" w:rsidRDefault="00F94958" w:rsidP="00D83D19">
      <w:pPr>
        <w:ind w:firstLine="708"/>
        <w:jc w:val="both"/>
        <w:rPr>
          <w:rFonts w:eastAsiaTheme="minorHAnsi"/>
          <w:color w:val="000000" w:themeColor="text1"/>
        </w:rPr>
      </w:pPr>
      <w:r w:rsidRPr="0039483D">
        <w:rPr>
          <w:rFonts w:eastAsiaTheme="minorHAnsi"/>
          <w:color w:val="000000" w:themeColor="text1"/>
        </w:rPr>
        <w:t xml:space="preserve">Diğer taraftan, denetimlerin stratejik bir planlama anlayışıyla yapılması amacıyla, ülkemizdeki PGD sistemi, bu sistemde bir önceki yıl yaşanan gelişmeler ve önümüzdeki dönemde yürütülecek çalışmalara dair bilgiler ile PGD kuruluşlarınca hazırlanan </w:t>
      </w:r>
      <w:proofErr w:type="spellStart"/>
      <w:r w:rsidRPr="0039483D">
        <w:rPr>
          <w:rFonts w:eastAsiaTheme="minorHAnsi"/>
          <w:color w:val="000000" w:themeColor="text1"/>
        </w:rPr>
        <w:t>sektörel</w:t>
      </w:r>
      <w:proofErr w:type="spellEnd"/>
      <w:r w:rsidRPr="0039483D">
        <w:rPr>
          <w:rFonts w:eastAsiaTheme="minorHAnsi"/>
          <w:color w:val="000000" w:themeColor="text1"/>
        </w:rPr>
        <w:t xml:space="preserve"> denetim programlarını da içerecek şekilde “20</w:t>
      </w:r>
      <w:r w:rsidR="00ED0D0D">
        <w:rPr>
          <w:rFonts w:eastAsiaTheme="minorHAnsi"/>
          <w:color w:val="000000" w:themeColor="text1"/>
        </w:rPr>
        <w:t>20</w:t>
      </w:r>
      <w:r w:rsidRPr="0039483D">
        <w:rPr>
          <w:rFonts w:eastAsiaTheme="minorHAnsi"/>
          <w:color w:val="000000" w:themeColor="text1"/>
        </w:rPr>
        <w:t xml:space="preserve"> Yılı Ulusal PGD Programı” hazırlanmış ve Avrupa Komisyonuna da iletilmiştir. </w:t>
      </w:r>
    </w:p>
    <w:p w:rsidR="00F94958" w:rsidRPr="0039483D" w:rsidRDefault="00F94958" w:rsidP="00F94958">
      <w:pPr>
        <w:pStyle w:val="Default"/>
        <w:jc w:val="both"/>
        <w:rPr>
          <w:rFonts w:ascii="Times New Roman" w:hAnsi="Times New Roman" w:cs="Times New Roman"/>
          <w:color w:val="000000" w:themeColor="text1"/>
        </w:rPr>
      </w:pPr>
    </w:p>
    <w:p w:rsidR="006F6BE0" w:rsidRPr="006A3CE9" w:rsidRDefault="00ED0D0D" w:rsidP="006A3CE9">
      <w:pPr>
        <w:spacing w:before="56" w:line="240" w:lineRule="atLeast"/>
        <w:ind w:firstLine="708"/>
        <w:jc w:val="both"/>
        <w:rPr>
          <w:color w:val="000000" w:themeColor="text1"/>
          <w:lang w:eastAsia="tr-TR"/>
        </w:rPr>
      </w:pPr>
      <w:r w:rsidRPr="00ED0D0D">
        <w:rPr>
          <w:lang w:eastAsia="tr-TR"/>
        </w:rPr>
        <w:t xml:space="preserve">PGD faaliyetlerinin yasal dayanağını oluşturan 4703 sayılı Ürünlere İlişkin Teknik Düzenlemelerin Hazırlanması ve Uygulanmasına Dair Kanun’da belirtilen idari para cezalarının yeniden değerleme oranı dikkate alınarak arttırılan yeni oranları bir Tebliğ vasıtasıyla duyurulmuştur. </w:t>
      </w:r>
      <w:proofErr w:type="gramStart"/>
      <w:r w:rsidRPr="00ED0D0D">
        <w:rPr>
          <w:lang w:eastAsia="tr-TR"/>
        </w:rPr>
        <w:t xml:space="preserve">Bu kapsamda, 4703 sayılı Kanun’daki idari para cezalarının alt ve üst limitlerini yeniden değerleme oranı çerçevesinde “4703 Sayılı Ürünlere İlişkin Teknik Mevzuatın </w:t>
      </w:r>
      <w:r w:rsidRPr="00ED0D0D">
        <w:rPr>
          <w:color w:val="000000" w:themeColor="text1"/>
          <w:lang w:eastAsia="tr-TR"/>
        </w:rPr>
        <w:t>Hazırlanması Ve Uygulanmasına Dair Kanunla Düzenlenmiş Olan İdari Para Cezalarının Yeni Değerlerinin Duyurulmasına İlişkin Tebliğ (Ürün Güvenliği ve Denetimi: 2020/13)” hazırlanmış ve Resmi Gazete’nin 27.12.2019 tarihli ve 30991 (Mükerrer) sayısında yayımlanmıştır.</w:t>
      </w:r>
      <w:proofErr w:type="gramEnd"/>
    </w:p>
    <w:p w:rsidR="006F6BE0" w:rsidRPr="001C0A4D" w:rsidRDefault="006F6BE0" w:rsidP="00F94958">
      <w:pPr>
        <w:autoSpaceDE w:val="0"/>
        <w:autoSpaceDN w:val="0"/>
        <w:adjustRightInd w:val="0"/>
        <w:jc w:val="both"/>
        <w:rPr>
          <w:color w:val="7F7F7F" w:themeColor="text1" w:themeTint="80"/>
        </w:rPr>
      </w:pPr>
    </w:p>
    <w:p w:rsidR="00ED0D0D" w:rsidRPr="00ED0D0D" w:rsidRDefault="00ED0D0D" w:rsidP="001C0A4D">
      <w:pPr>
        <w:autoSpaceDE w:val="0"/>
        <w:autoSpaceDN w:val="0"/>
        <w:adjustRightInd w:val="0"/>
        <w:ind w:firstLine="708"/>
        <w:jc w:val="both"/>
        <w:rPr>
          <w:color w:val="000000" w:themeColor="text1"/>
        </w:rPr>
      </w:pPr>
      <w:r w:rsidRPr="00ED0D0D">
        <w:rPr>
          <w:rFonts w:eastAsia="Calibri"/>
          <w:color w:val="000000" w:themeColor="text1"/>
        </w:rPr>
        <w:t xml:space="preserve">Diğer taraftan </w:t>
      </w:r>
      <w:r w:rsidRPr="00ED0D0D">
        <w:rPr>
          <w:color w:val="000000" w:themeColor="text1"/>
        </w:rPr>
        <w:t xml:space="preserve">2014 yılında Bakanlığımız tarafından Avrupa Komisyonu’nun Düzenleyici Reform ve Müktesebat Uyumu (RRAA) programı kapsamında teklif edilen </w:t>
      </w:r>
      <w:r w:rsidR="0089359A">
        <w:rPr>
          <w:color w:val="000000" w:themeColor="text1"/>
        </w:rPr>
        <w:t xml:space="preserve">ve 09/10/2018 tarihi itibari ile başlayan </w:t>
      </w:r>
      <w:r w:rsidRPr="00ED0D0D">
        <w:rPr>
          <w:color w:val="000000" w:themeColor="text1"/>
        </w:rPr>
        <w:t>“Ürün Güvenliği, Piyasa Gözetimi ve Denetimi ile Uygunluk Değerlendirmesi Alanlarında Kamuoyundaki Farkındalığın Artırılması” başlıklı AB Projesi</w:t>
      </w:r>
      <w:r w:rsidR="00351AB9">
        <w:rPr>
          <w:color w:val="000000" w:themeColor="text1"/>
        </w:rPr>
        <w:t xml:space="preserve"> kapsamında faaliyetler yürütülmüştür. </w:t>
      </w:r>
      <w:r w:rsidRPr="00ED0D0D">
        <w:rPr>
          <w:color w:val="000000" w:themeColor="text1"/>
        </w:rPr>
        <w:t>.</w:t>
      </w:r>
    </w:p>
    <w:p w:rsidR="00ED0D0D" w:rsidRPr="00ED0D0D" w:rsidRDefault="00ED0D0D" w:rsidP="00ED0D0D">
      <w:pPr>
        <w:autoSpaceDE w:val="0"/>
        <w:autoSpaceDN w:val="0"/>
        <w:adjustRightInd w:val="0"/>
        <w:jc w:val="both"/>
        <w:rPr>
          <w:color w:val="000000" w:themeColor="text1"/>
        </w:rPr>
      </w:pPr>
    </w:p>
    <w:p w:rsidR="00ED0D0D" w:rsidRPr="00ED0D0D" w:rsidRDefault="00ED0D0D" w:rsidP="001C0A4D">
      <w:pPr>
        <w:autoSpaceDE w:val="0"/>
        <w:autoSpaceDN w:val="0"/>
        <w:adjustRightInd w:val="0"/>
        <w:ind w:firstLine="708"/>
        <w:contextualSpacing/>
        <w:jc w:val="both"/>
        <w:rPr>
          <w:rFonts w:eastAsia="Calibri"/>
          <w:color w:val="000000" w:themeColor="text1"/>
        </w:rPr>
      </w:pPr>
      <w:r w:rsidRPr="00ED0D0D">
        <w:rPr>
          <w:color w:val="000000" w:themeColor="text1"/>
        </w:rPr>
        <w:t>Proje kapsamında ülkemizdeki bilgi birikiminin artırılması, paydaşlar arasındaki iletişimin ve işbirliğinin geliştirilmesi ve farkındalığın artırılması amaçlanmaktadır. Bu amaçlar doğrultusunda</w:t>
      </w:r>
      <w:r w:rsidRPr="00ED0D0D">
        <w:rPr>
          <w:color w:val="000000" w:themeColor="text1"/>
          <w:lang w:eastAsia="tr-TR"/>
        </w:rPr>
        <w:t xml:space="preserve">, </w:t>
      </w:r>
      <w:r w:rsidRPr="00ED0D0D">
        <w:rPr>
          <w:rFonts w:eastAsia="Calibri"/>
          <w:color w:val="000000" w:themeColor="text1"/>
        </w:rPr>
        <w:t xml:space="preserve">farklı ürün gruplarına ilişkin uygunluk değerlendirme kuruluşları ile üretici/ithalatçılara yönelik 18 farklı ilde toplam 39 eğitim düzenlenmiş, internet satışlarının </w:t>
      </w:r>
      <w:proofErr w:type="spellStart"/>
      <w:r w:rsidRPr="00ED0D0D">
        <w:rPr>
          <w:rFonts w:eastAsia="Calibri"/>
          <w:color w:val="000000" w:themeColor="text1"/>
        </w:rPr>
        <w:t>PGD’sine</w:t>
      </w:r>
      <w:proofErr w:type="spellEnd"/>
      <w:r w:rsidRPr="00ED0D0D">
        <w:rPr>
          <w:rFonts w:eastAsia="Calibri"/>
          <w:color w:val="000000" w:themeColor="text1"/>
        </w:rPr>
        <w:t xml:space="preserve"> ilişkin </w:t>
      </w:r>
      <w:proofErr w:type="gramStart"/>
      <w:r w:rsidRPr="00ED0D0D">
        <w:rPr>
          <w:rFonts w:eastAsia="Calibri"/>
          <w:color w:val="000000" w:themeColor="text1"/>
        </w:rPr>
        <w:t>online</w:t>
      </w:r>
      <w:proofErr w:type="gramEnd"/>
      <w:r w:rsidRPr="00ED0D0D">
        <w:rPr>
          <w:rFonts w:eastAsia="Calibri"/>
          <w:color w:val="000000" w:themeColor="text1"/>
        </w:rPr>
        <w:t xml:space="preserve"> satış platformlarıyla bir </w:t>
      </w:r>
      <w:proofErr w:type="spellStart"/>
      <w:r w:rsidRPr="00ED0D0D">
        <w:rPr>
          <w:rFonts w:eastAsia="Calibri"/>
          <w:color w:val="000000" w:themeColor="text1"/>
        </w:rPr>
        <w:t>çalıştay</w:t>
      </w:r>
      <w:proofErr w:type="spellEnd"/>
      <w:r w:rsidRPr="00ED0D0D">
        <w:rPr>
          <w:rFonts w:eastAsia="Calibri"/>
          <w:color w:val="000000" w:themeColor="text1"/>
        </w:rPr>
        <w:t xml:space="preserve"> yapılmış, 10 ayrı ilde okul müdürlerine </w:t>
      </w:r>
      <w:r w:rsidRPr="00ED0D0D">
        <w:rPr>
          <w:rFonts w:eastAsia="Calibri"/>
          <w:color w:val="000000" w:themeColor="text1"/>
        </w:rPr>
        <w:lastRenderedPageBreak/>
        <w:t>yönelik ürün güvenliği eğitimleri</w:t>
      </w:r>
      <w:r w:rsidR="00AA15FA">
        <w:rPr>
          <w:rFonts w:eastAsia="Calibri"/>
          <w:color w:val="000000" w:themeColor="text1"/>
        </w:rPr>
        <w:t xml:space="preserve"> düzenlenmiş, Ürün Güvenliği İnternet</w:t>
      </w:r>
      <w:r w:rsidRPr="00ED0D0D">
        <w:rPr>
          <w:rFonts w:eastAsia="Calibri"/>
          <w:color w:val="000000" w:themeColor="text1"/>
        </w:rPr>
        <w:t xml:space="preserve"> Sitesi işler hale getirilmiş, çeşitli platformlarda seminer, </w:t>
      </w:r>
      <w:proofErr w:type="spellStart"/>
      <w:r w:rsidRPr="00ED0D0D">
        <w:rPr>
          <w:rFonts w:eastAsia="Calibri"/>
          <w:color w:val="000000" w:themeColor="text1"/>
        </w:rPr>
        <w:t>çalıştay</w:t>
      </w:r>
      <w:proofErr w:type="spellEnd"/>
      <w:r w:rsidRPr="00ED0D0D">
        <w:rPr>
          <w:rFonts w:eastAsia="Calibri"/>
          <w:color w:val="000000" w:themeColor="text1"/>
        </w:rPr>
        <w:t xml:space="preserve"> ile anketler düzenlenmiş ve bir kamu spotu hazırlanmıştır.</w:t>
      </w:r>
    </w:p>
    <w:p w:rsidR="00ED0D0D" w:rsidRPr="00C525E1" w:rsidRDefault="00ED0D0D" w:rsidP="00ED0D0D">
      <w:pPr>
        <w:autoSpaceDE w:val="0"/>
        <w:autoSpaceDN w:val="0"/>
        <w:adjustRightInd w:val="0"/>
        <w:contextualSpacing/>
        <w:jc w:val="both"/>
        <w:rPr>
          <w:color w:val="000000" w:themeColor="text1"/>
          <w:lang w:eastAsia="tr-TR"/>
        </w:rPr>
      </w:pPr>
    </w:p>
    <w:p w:rsidR="00ED0D0D" w:rsidRPr="00C525E1" w:rsidRDefault="00ED0D0D" w:rsidP="00ED0D0D">
      <w:pPr>
        <w:autoSpaceDE w:val="0"/>
        <w:autoSpaceDN w:val="0"/>
        <w:adjustRightInd w:val="0"/>
        <w:ind w:firstLine="708"/>
        <w:contextualSpacing/>
        <w:jc w:val="both"/>
        <w:rPr>
          <w:rFonts w:eastAsia="Calibri"/>
          <w:color w:val="000000" w:themeColor="text1"/>
        </w:rPr>
      </w:pPr>
      <w:proofErr w:type="gramStart"/>
      <w:r w:rsidRPr="00C525E1">
        <w:rPr>
          <w:rFonts w:eastAsia="Calibri"/>
          <w:color w:val="000000" w:themeColor="text1"/>
        </w:rPr>
        <w:t xml:space="preserve">Milli Eğitim Bakanlığı Eğitim Bilişim </w:t>
      </w:r>
      <w:proofErr w:type="spellStart"/>
      <w:r w:rsidRPr="00C525E1">
        <w:rPr>
          <w:rFonts w:eastAsia="Calibri"/>
          <w:color w:val="000000" w:themeColor="text1"/>
        </w:rPr>
        <w:t>Ağı’na</w:t>
      </w:r>
      <w:proofErr w:type="spellEnd"/>
      <w:r w:rsidRPr="00C525E1">
        <w:rPr>
          <w:rFonts w:eastAsia="Calibri"/>
          <w:color w:val="000000" w:themeColor="text1"/>
        </w:rPr>
        <w:t xml:space="preserve"> (EBA) 25 dakikalık bir Ürün Güvenliği Eğitim Videosu yüklenerek veli, öğretmen ve öğrencilerin ürün güvenliği konularında bilgilendirilmesi hedeflenmiştir.10 farklı ilde “Ürün Güvenliği Haftaları” düzenlenmiş, bu etkinlikler kapsamında toplamda 1340 kişinin katılım sağladığı 10 seminer düzenlenmiş, hafta sonunu kapsayacak şekilde 25 alışveriş merkezinde ürün güvenliği konularında bilgilendirme stantları kurulmuş, bu stantlarda, hazırlanan broşürler ve diğer materyaller tüketicilere dağıtılmıştır. </w:t>
      </w:r>
      <w:proofErr w:type="gramEnd"/>
      <w:r w:rsidRPr="00C525E1">
        <w:rPr>
          <w:rFonts w:eastAsia="Calibri"/>
          <w:color w:val="000000" w:themeColor="text1"/>
        </w:rPr>
        <w:t xml:space="preserve">81 ilde ortaokul öğrencilerine yönelik “Ürün Dedektifi, </w:t>
      </w:r>
      <w:proofErr w:type="gramStart"/>
      <w:r w:rsidRPr="00C525E1">
        <w:rPr>
          <w:rFonts w:eastAsia="Calibri"/>
          <w:color w:val="000000" w:themeColor="text1"/>
        </w:rPr>
        <w:t>Resim,</w:t>
      </w:r>
      <w:proofErr w:type="gramEnd"/>
      <w:r w:rsidRPr="00C525E1">
        <w:rPr>
          <w:rFonts w:eastAsia="Calibri"/>
          <w:color w:val="000000" w:themeColor="text1"/>
        </w:rPr>
        <w:t xml:space="preserve"> ve Afiş &amp; Slogan Yarışması” düzenlenmiş, 4 farklı kategoride ilk 3’e giren öğrencilere ödüllerinin verilmesi amacıyla 25 Kasım 2019 tarihinde bir ödül töreni gerçekleştirilmiştir.  Proje kapsamında diğer faaliyetlere devam edilmektedir. </w:t>
      </w:r>
    </w:p>
    <w:p w:rsidR="00ED0D0D" w:rsidRDefault="00ED0D0D" w:rsidP="00ED0D0D">
      <w:pPr>
        <w:rPr>
          <w:b/>
          <w:color w:val="FF0000"/>
        </w:rPr>
      </w:pPr>
    </w:p>
    <w:p w:rsidR="00ED0D0D" w:rsidRPr="006F6BE0" w:rsidRDefault="00ED0D0D" w:rsidP="00ED0D0D">
      <w:pPr>
        <w:autoSpaceDE w:val="0"/>
        <w:autoSpaceDN w:val="0"/>
        <w:adjustRightInd w:val="0"/>
        <w:spacing w:after="240"/>
        <w:ind w:firstLine="709"/>
        <w:jc w:val="both"/>
        <w:rPr>
          <w:rFonts w:ascii="Ingra-Light" w:eastAsiaTheme="minorHAnsi" w:hAnsi="Ingra-Light" w:cs="Ingra-Light"/>
          <w:color w:val="FF0000"/>
          <w:sz w:val="22"/>
          <w:szCs w:val="22"/>
        </w:rPr>
      </w:pPr>
    </w:p>
    <w:p w:rsidR="00F23774" w:rsidRPr="006D3C51" w:rsidRDefault="00AF298B" w:rsidP="006D3C51">
      <w:pPr>
        <w:pStyle w:val="Balk1"/>
        <w:numPr>
          <w:ilvl w:val="0"/>
          <w:numId w:val="37"/>
        </w:numPr>
      </w:pPr>
      <w:bookmarkStart w:id="4" w:name="_Toc4892857"/>
      <w:r w:rsidRPr="006D3C51">
        <w:t xml:space="preserve">TÜRKİYE’DE </w:t>
      </w:r>
      <w:r w:rsidR="00BE2E87" w:rsidRPr="006D3C51">
        <w:t>PGD’NİN</w:t>
      </w:r>
      <w:r w:rsidRPr="006D3C51">
        <w:t xml:space="preserve"> YILLARA GÖRE GELİŞİMİ</w:t>
      </w:r>
      <w:r w:rsidR="00774E9F" w:rsidRPr="006D3C51">
        <w:footnoteReference w:id="2"/>
      </w:r>
      <w:bookmarkEnd w:id="4"/>
    </w:p>
    <w:p w:rsidR="00F23774" w:rsidRDefault="00F23774" w:rsidP="00BE41A3">
      <w:pPr>
        <w:pStyle w:val="Balk1"/>
        <w:numPr>
          <w:ilvl w:val="0"/>
          <w:numId w:val="0"/>
        </w:numPr>
        <w:jc w:val="left"/>
        <w:rPr>
          <w:color w:val="000000" w:themeColor="text1"/>
        </w:rPr>
      </w:pPr>
    </w:p>
    <w:p w:rsidR="00D83D19" w:rsidRPr="00D83D19" w:rsidRDefault="00787DF6" w:rsidP="00D83D19">
      <w:pPr>
        <w:pStyle w:val="Balk1"/>
        <w:numPr>
          <w:ilvl w:val="0"/>
          <w:numId w:val="15"/>
        </w:numPr>
        <w:autoSpaceDE w:val="0"/>
        <w:autoSpaceDN w:val="0"/>
        <w:adjustRightInd w:val="0"/>
        <w:spacing w:after="240"/>
        <w:ind w:left="0" w:firstLine="709"/>
        <w:jc w:val="left"/>
        <w:rPr>
          <w:noProof/>
          <w:lang w:eastAsia="tr-TR"/>
        </w:rPr>
      </w:pPr>
      <w:bookmarkStart w:id="5" w:name="_Toc4892858"/>
      <w:r w:rsidRPr="00D83D19">
        <w:rPr>
          <w:color w:val="000000" w:themeColor="text1"/>
        </w:rPr>
        <w:t>KAYNAKLARDAKİ DEĞİŞİMİN DENETİMLERE ETKİSİ</w:t>
      </w:r>
      <w:bookmarkEnd w:id="5"/>
    </w:p>
    <w:p w:rsidR="00AE756C" w:rsidRDefault="004A6571" w:rsidP="00D83D19">
      <w:pPr>
        <w:pStyle w:val="Balk1"/>
        <w:numPr>
          <w:ilvl w:val="0"/>
          <w:numId w:val="0"/>
        </w:numPr>
        <w:autoSpaceDE w:val="0"/>
        <w:autoSpaceDN w:val="0"/>
        <w:adjustRightInd w:val="0"/>
        <w:spacing w:after="240"/>
        <w:jc w:val="left"/>
        <w:rPr>
          <w:noProof/>
          <w:lang w:eastAsia="tr-TR"/>
        </w:rPr>
      </w:pPr>
      <w:r>
        <w:rPr>
          <w:noProof/>
          <w:lang w:eastAsia="tr-TR"/>
        </w:rPr>
        <w:drawing>
          <wp:inline distT="0" distB="0" distL="0" distR="0">
            <wp:extent cx="6029960" cy="360934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42AA" w:rsidRDefault="009D6E16" w:rsidP="00BE41A3">
      <w:pPr>
        <w:autoSpaceDE w:val="0"/>
        <w:autoSpaceDN w:val="0"/>
        <w:adjustRightInd w:val="0"/>
        <w:spacing w:after="240"/>
        <w:ind w:firstLine="709"/>
        <w:jc w:val="both"/>
        <w:rPr>
          <w:color w:val="000000" w:themeColor="text1"/>
        </w:rPr>
      </w:pPr>
      <w:r>
        <w:rPr>
          <w:color w:val="000000" w:themeColor="text1"/>
        </w:rPr>
        <w:t xml:space="preserve">Grafik 1’de </w:t>
      </w:r>
      <w:r w:rsidR="004742AA">
        <w:rPr>
          <w:color w:val="000000" w:themeColor="text1"/>
        </w:rPr>
        <w:t>görüldüğü üzere,</w:t>
      </w:r>
      <w:r w:rsidR="0021225D">
        <w:rPr>
          <w:color w:val="000000" w:themeColor="text1"/>
        </w:rPr>
        <w:t xml:space="preserve"> </w:t>
      </w:r>
      <w:r w:rsidR="002C278F" w:rsidRPr="00AA15FA">
        <w:rPr>
          <w:color w:val="000000" w:themeColor="text1"/>
        </w:rPr>
        <w:t>201</w:t>
      </w:r>
      <w:r w:rsidR="007263A7" w:rsidRPr="00AA15FA">
        <w:rPr>
          <w:color w:val="000000" w:themeColor="text1"/>
        </w:rPr>
        <w:t>9</w:t>
      </w:r>
      <w:r w:rsidR="004742AA" w:rsidRPr="00AA15FA">
        <w:rPr>
          <w:color w:val="000000" w:themeColor="text1"/>
        </w:rPr>
        <w:t xml:space="preserve"> yılında </w:t>
      </w:r>
      <w:proofErr w:type="spellStart"/>
      <w:r w:rsidR="004742AA" w:rsidRPr="00AA15FA">
        <w:rPr>
          <w:color w:val="000000" w:themeColor="text1"/>
        </w:rPr>
        <w:t>PGD’ye</w:t>
      </w:r>
      <w:proofErr w:type="spellEnd"/>
      <w:r w:rsidR="004742AA" w:rsidRPr="00AA15FA">
        <w:rPr>
          <w:color w:val="000000" w:themeColor="text1"/>
        </w:rPr>
        <w:t xml:space="preserve"> ayrılan bütçede</w:t>
      </w:r>
      <w:r w:rsidR="004F0AA1" w:rsidRPr="00AA15FA">
        <w:rPr>
          <w:color w:val="000000" w:themeColor="text1"/>
        </w:rPr>
        <w:t xml:space="preserve"> düşük oranda bir azalma mevcutken</w:t>
      </w:r>
      <w:r w:rsidR="004742AA" w:rsidRPr="00AA15FA">
        <w:rPr>
          <w:color w:val="000000" w:themeColor="text1"/>
        </w:rPr>
        <w:t xml:space="preserve">, </w:t>
      </w:r>
      <w:r w:rsidR="00C73C74" w:rsidRPr="00AA15FA">
        <w:rPr>
          <w:color w:val="000000" w:themeColor="text1"/>
        </w:rPr>
        <w:t>fiili olarak denetimlere yönlendirilen</w:t>
      </w:r>
      <w:r w:rsidR="004742AA" w:rsidRPr="00AA15FA">
        <w:rPr>
          <w:color w:val="000000" w:themeColor="text1"/>
        </w:rPr>
        <w:t xml:space="preserve"> personel sayısında</w:t>
      </w:r>
      <w:r w:rsidR="00AA6E7B" w:rsidRPr="00AA15FA">
        <w:rPr>
          <w:color w:val="000000" w:themeColor="text1"/>
        </w:rPr>
        <w:t xml:space="preserve"> da azalma</w:t>
      </w:r>
      <w:r w:rsidR="0021225D">
        <w:rPr>
          <w:color w:val="000000" w:themeColor="text1"/>
        </w:rPr>
        <w:t xml:space="preserve"> </w:t>
      </w:r>
      <w:r w:rsidR="000E7EC1" w:rsidRPr="00AA15FA">
        <w:rPr>
          <w:color w:val="000000" w:themeColor="text1"/>
        </w:rPr>
        <w:t>yaşanmıştır</w:t>
      </w:r>
      <w:r w:rsidR="004742AA" w:rsidRPr="00AA15FA">
        <w:rPr>
          <w:color w:val="000000" w:themeColor="text1"/>
        </w:rPr>
        <w:t>.</w:t>
      </w:r>
      <w:r w:rsidR="0021225D">
        <w:rPr>
          <w:color w:val="000000" w:themeColor="text1"/>
        </w:rPr>
        <w:t xml:space="preserve"> </w:t>
      </w:r>
      <w:r w:rsidR="000E7EC1" w:rsidRPr="00AA15FA">
        <w:rPr>
          <w:color w:val="000000" w:themeColor="text1"/>
        </w:rPr>
        <w:t xml:space="preserve">9 </w:t>
      </w:r>
      <w:r w:rsidR="00C73C74" w:rsidRPr="00AA15FA">
        <w:rPr>
          <w:color w:val="000000" w:themeColor="text1"/>
        </w:rPr>
        <w:t xml:space="preserve">PGD </w:t>
      </w:r>
      <w:r w:rsidR="000E7EC1" w:rsidRPr="00AA15FA">
        <w:rPr>
          <w:color w:val="000000" w:themeColor="text1"/>
        </w:rPr>
        <w:t xml:space="preserve">kuruluşunca </w:t>
      </w:r>
      <w:proofErr w:type="spellStart"/>
      <w:r w:rsidR="00C73C74" w:rsidRPr="00AA15FA">
        <w:rPr>
          <w:color w:val="000000" w:themeColor="text1"/>
        </w:rPr>
        <w:t>PGD’ye</w:t>
      </w:r>
      <w:proofErr w:type="spellEnd"/>
      <w:r w:rsidR="00C73C74" w:rsidRPr="00AA15FA">
        <w:rPr>
          <w:color w:val="000000" w:themeColor="text1"/>
        </w:rPr>
        <w:t xml:space="preserve"> ayrılan mad</w:t>
      </w:r>
      <w:r w:rsidR="004F0AA1" w:rsidRPr="00AA15FA">
        <w:rPr>
          <w:color w:val="000000" w:themeColor="text1"/>
        </w:rPr>
        <w:t xml:space="preserve">di kaynak önceki seneye göre </w:t>
      </w:r>
      <w:r w:rsidR="00E40725" w:rsidRPr="00AA15FA">
        <w:rPr>
          <w:color w:val="000000" w:themeColor="text1"/>
        </w:rPr>
        <w:t xml:space="preserve">%24 </w:t>
      </w:r>
      <w:r w:rsidR="004F0AA1" w:rsidRPr="00AA15FA">
        <w:rPr>
          <w:color w:val="000000" w:themeColor="text1"/>
        </w:rPr>
        <w:t xml:space="preserve">oranında </w:t>
      </w:r>
      <w:r w:rsidR="00D11646" w:rsidRPr="00AA15FA">
        <w:rPr>
          <w:color w:val="000000" w:themeColor="text1"/>
        </w:rPr>
        <w:t>azalarak</w:t>
      </w:r>
      <w:r w:rsidR="00620C0A" w:rsidRPr="00AA15FA">
        <w:rPr>
          <w:color w:val="000000" w:themeColor="text1"/>
        </w:rPr>
        <w:t xml:space="preserve"> </w:t>
      </w:r>
      <w:r w:rsidR="00E40725" w:rsidRPr="00AA15FA">
        <w:rPr>
          <w:color w:val="000000" w:themeColor="text1"/>
        </w:rPr>
        <w:t>113</w:t>
      </w:r>
      <w:r w:rsidR="00620C0A" w:rsidRPr="00AA15FA">
        <w:rPr>
          <w:color w:val="000000" w:themeColor="text1"/>
        </w:rPr>
        <w:t xml:space="preserve"> </w:t>
      </w:r>
      <w:r w:rsidR="004F0AA1" w:rsidRPr="00AA15FA">
        <w:rPr>
          <w:color w:val="000000" w:themeColor="text1"/>
        </w:rPr>
        <w:t>Milyon TL olarak gerçekleşmiştir</w:t>
      </w:r>
      <w:r w:rsidR="004F0AA1">
        <w:rPr>
          <w:color w:val="000000" w:themeColor="text1"/>
        </w:rPr>
        <w:t>. F</w:t>
      </w:r>
      <w:r w:rsidR="00C73C74" w:rsidRPr="00C73C74">
        <w:rPr>
          <w:color w:val="000000" w:themeColor="text1"/>
        </w:rPr>
        <w:t>iil</w:t>
      </w:r>
      <w:r w:rsidR="004F0AA1">
        <w:rPr>
          <w:color w:val="000000" w:themeColor="text1"/>
        </w:rPr>
        <w:t>i denetim elemanı sayısı ise %</w:t>
      </w:r>
      <w:r w:rsidR="004F3592">
        <w:rPr>
          <w:color w:val="000000" w:themeColor="text1"/>
        </w:rPr>
        <w:t>1</w:t>
      </w:r>
      <w:r w:rsidR="00686F57">
        <w:rPr>
          <w:color w:val="000000" w:themeColor="text1"/>
        </w:rPr>
        <w:t>,8 azalarak</w:t>
      </w:r>
      <w:r w:rsidR="00620C0A">
        <w:rPr>
          <w:color w:val="000000" w:themeColor="text1"/>
        </w:rPr>
        <w:t xml:space="preserve"> </w:t>
      </w:r>
      <w:r w:rsidR="00686F57">
        <w:rPr>
          <w:color w:val="000000" w:themeColor="text1"/>
        </w:rPr>
        <w:t>10.349’a</w:t>
      </w:r>
      <w:r w:rsidR="00620C0A">
        <w:rPr>
          <w:color w:val="000000" w:themeColor="text1"/>
        </w:rPr>
        <w:t xml:space="preserve"> </w:t>
      </w:r>
      <w:r w:rsidR="00C73C74" w:rsidRPr="00C73C74">
        <w:rPr>
          <w:color w:val="000000" w:themeColor="text1"/>
        </w:rPr>
        <w:t>ulaşmıştır.</w:t>
      </w:r>
    </w:p>
    <w:p w:rsidR="004742AA" w:rsidRDefault="00E40725" w:rsidP="00D165C2">
      <w:pPr>
        <w:tabs>
          <w:tab w:val="left" w:pos="3165"/>
        </w:tabs>
        <w:autoSpaceDE w:val="0"/>
        <w:autoSpaceDN w:val="0"/>
        <w:adjustRightInd w:val="0"/>
        <w:spacing w:after="240"/>
        <w:rPr>
          <w:color w:val="000000" w:themeColor="text1"/>
        </w:rPr>
      </w:pPr>
      <w:r>
        <w:rPr>
          <w:noProof/>
          <w:lang w:eastAsia="tr-TR"/>
        </w:rPr>
        <w:lastRenderedPageBreak/>
        <w:drawing>
          <wp:inline distT="0" distB="0" distL="0" distR="0">
            <wp:extent cx="6257925" cy="4543425"/>
            <wp:effectExtent l="0" t="0" r="9525" b="95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4DDC" w:rsidRDefault="00D7728A" w:rsidP="00BE41A3">
      <w:pPr>
        <w:autoSpaceDE w:val="0"/>
        <w:autoSpaceDN w:val="0"/>
        <w:adjustRightInd w:val="0"/>
        <w:spacing w:after="240"/>
        <w:ind w:firstLine="709"/>
        <w:jc w:val="both"/>
        <w:rPr>
          <w:color w:val="000000" w:themeColor="text1"/>
        </w:rPr>
      </w:pPr>
      <w:r>
        <w:rPr>
          <w:color w:val="000000" w:themeColor="text1"/>
        </w:rPr>
        <w:t xml:space="preserve">Toplam denetlenen ürün </w:t>
      </w:r>
      <w:r w:rsidR="004F0B4E">
        <w:rPr>
          <w:color w:val="000000" w:themeColor="text1"/>
        </w:rPr>
        <w:t xml:space="preserve">parti </w:t>
      </w:r>
      <w:r>
        <w:rPr>
          <w:color w:val="000000" w:themeColor="text1"/>
        </w:rPr>
        <w:t>sayısı 201</w:t>
      </w:r>
      <w:r w:rsidR="000D4DDC">
        <w:rPr>
          <w:color w:val="000000" w:themeColor="text1"/>
        </w:rPr>
        <w:t>8</w:t>
      </w:r>
      <w:r w:rsidR="005A4C1F">
        <w:rPr>
          <w:color w:val="000000" w:themeColor="text1"/>
        </w:rPr>
        <w:t xml:space="preserve"> yılına göre %</w:t>
      </w:r>
      <w:r w:rsidR="000D4DDC">
        <w:rPr>
          <w:color w:val="000000" w:themeColor="text1"/>
        </w:rPr>
        <w:t>11</w:t>
      </w:r>
      <w:r>
        <w:rPr>
          <w:color w:val="000000" w:themeColor="text1"/>
        </w:rPr>
        <w:t xml:space="preserve"> a</w:t>
      </w:r>
      <w:r w:rsidR="000D4DDC">
        <w:rPr>
          <w:color w:val="000000" w:themeColor="text1"/>
        </w:rPr>
        <w:t>rtarak</w:t>
      </w:r>
      <w:r w:rsidR="00620C0A">
        <w:rPr>
          <w:color w:val="000000" w:themeColor="text1"/>
        </w:rPr>
        <w:t xml:space="preserve"> </w:t>
      </w:r>
      <w:r w:rsidR="000D4DDC">
        <w:rPr>
          <w:color w:val="000000" w:themeColor="text1"/>
        </w:rPr>
        <w:t>267.594’e</w:t>
      </w:r>
      <w:r w:rsidR="00620C0A">
        <w:rPr>
          <w:color w:val="000000" w:themeColor="text1"/>
        </w:rPr>
        <w:t xml:space="preserve"> </w:t>
      </w:r>
      <w:r w:rsidR="000D4DDC">
        <w:rPr>
          <w:color w:val="000000" w:themeColor="text1"/>
        </w:rPr>
        <w:t>yükselmiştir</w:t>
      </w:r>
      <w:r>
        <w:rPr>
          <w:color w:val="000000" w:themeColor="text1"/>
        </w:rPr>
        <w:t xml:space="preserve">. </w:t>
      </w:r>
      <w:r w:rsidRPr="00EC70C7">
        <w:rPr>
          <w:color w:val="000000" w:themeColor="text1"/>
        </w:rPr>
        <w:t xml:space="preserve">Denetlenen ürün sayısındaki </w:t>
      </w:r>
      <w:r w:rsidR="000D4DDC">
        <w:rPr>
          <w:color w:val="000000" w:themeColor="text1"/>
        </w:rPr>
        <w:t>artış</w:t>
      </w:r>
      <w:r w:rsidR="00620C0A">
        <w:rPr>
          <w:color w:val="000000" w:themeColor="text1"/>
        </w:rPr>
        <w:t xml:space="preserve"> </w:t>
      </w:r>
      <w:r w:rsidR="0096169B" w:rsidRPr="00EC70C7">
        <w:rPr>
          <w:color w:val="000000" w:themeColor="text1"/>
        </w:rPr>
        <w:t>güvensiz</w:t>
      </w:r>
      <w:r w:rsidR="00616DC1" w:rsidRPr="00EC70C7">
        <w:rPr>
          <w:rStyle w:val="DipnotBavurusu"/>
          <w:color w:val="000000" w:themeColor="text1"/>
        </w:rPr>
        <w:footnoteReference w:id="3"/>
      </w:r>
      <w:r w:rsidR="0096169B" w:rsidRPr="00EC70C7">
        <w:rPr>
          <w:color w:val="000000" w:themeColor="text1"/>
        </w:rPr>
        <w:t xml:space="preserve"> ürün parti sayısı</w:t>
      </w:r>
      <w:r w:rsidRPr="00EC70C7">
        <w:rPr>
          <w:color w:val="000000" w:themeColor="text1"/>
        </w:rPr>
        <w:t xml:space="preserve">na da yansımış ve </w:t>
      </w:r>
      <w:r w:rsidR="000D4DDC">
        <w:rPr>
          <w:color w:val="000000" w:themeColor="text1"/>
        </w:rPr>
        <w:t>güvensiz</w:t>
      </w:r>
      <w:r w:rsidR="000D4DDC" w:rsidRPr="00EC70C7">
        <w:rPr>
          <w:color w:val="000000" w:themeColor="text1"/>
        </w:rPr>
        <w:t xml:space="preserve"> bulunan ürün parti sayısı</w:t>
      </w:r>
      <w:r w:rsidR="000D4DDC">
        <w:rPr>
          <w:color w:val="000000" w:themeColor="text1"/>
        </w:rPr>
        <w:t xml:space="preserve"> %58 oranında artarak 1.832</w:t>
      </w:r>
      <w:r w:rsidR="000D4DDC" w:rsidRPr="008B2319">
        <w:rPr>
          <w:color w:val="000000" w:themeColor="text1"/>
        </w:rPr>
        <w:t xml:space="preserve"> olarak gerçekleşmiştir. </w:t>
      </w:r>
      <w:r w:rsidR="000D4DDC">
        <w:rPr>
          <w:color w:val="000000" w:themeColor="text1"/>
        </w:rPr>
        <w:t>U</w:t>
      </w:r>
      <w:r w:rsidRPr="00EC70C7">
        <w:rPr>
          <w:color w:val="000000" w:themeColor="text1"/>
        </w:rPr>
        <w:t>ygunsuz bulunan ürün</w:t>
      </w:r>
      <w:r w:rsidR="004F0B4E" w:rsidRPr="00EC70C7">
        <w:rPr>
          <w:color w:val="000000" w:themeColor="text1"/>
        </w:rPr>
        <w:t xml:space="preserve"> parti</w:t>
      </w:r>
      <w:r w:rsidRPr="00EC70C7">
        <w:rPr>
          <w:color w:val="000000" w:themeColor="text1"/>
        </w:rPr>
        <w:t xml:space="preserve"> sayısı</w:t>
      </w:r>
      <w:r w:rsidR="000D4DDC">
        <w:rPr>
          <w:color w:val="000000" w:themeColor="text1"/>
        </w:rPr>
        <w:t xml:space="preserve"> ise</w:t>
      </w:r>
      <w:r w:rsidR="00620C0A">
        <w:rPr>
          <w:color w:val="000000" w:themeColor="text1"/>
        </w:rPr>
        <w:t xml:space="preserve"> </w:t>
      </w:r>
      <w:r w:rsidR="0052413D" w:rsidRPr="00EC70C7">
        <w:rPr>
          <w:color w:val="000000" w:themeColor="text1"/>
        </w:rPr>
        <w:t>%</w:t>
      </w:r>
      <w:r w:rsidR="000D4DDC">
        <w:rPr>
          <w:color w:val="000000" w:themeColor="text1"/>
        </w:rPr>
        <w:t xml:space="preserve">12 </w:t>
      </w:r>
      <w:r w:rsidR="0052413D" w:rsidRPr="00EC70C7">
        <w:rPr>
          <w:color w:val="000000" w:themeColor="text1"/>
        </w:rPr>
        <w:t xml:space="preserve">oranında </w:t>
      </w:r>
      <w:r w:rsidRPr="008B2319">
        <w:rPr>
          <w:color w:val="000000" w:themeColor="text1"/>
        </w:rPr>
        <w:t xml:space="preserve">azalarak </w:t>
      </w:r>
      <w:r w:rsidR="000D4DDC">
        <w:rPr>
          <w:color w:val="000000" w:themeColor="text1"/>
        </w:rPr>
        <w:t>29</w:t>
      </w:r>
      <w:r w:rsidR="00D00639" w:rsidRPr="008B2319">
        <w:rPr>
          <w:color w:val="000000" w:themeColor="text1"/>
        </w:rPr>
        <w:t>.4</w:t>
      </w:r>
      <w:r w:rsidR="001C7B7F" w:rsidRPr="008B2319">
        <w:rPr>
          <w:color w:val="000000" w:themeColor="text1"/>
        </w:rPr>
        <w:t>03</w:t>
      </w:r>
      <w:r w:rsidR="000D4DDC">
        <w:rPr>
          <w:color w:val="000000" w:themeColor="text1"/>
        </w:rPr>
        <w:t xml:space="preserve"> olarak gerçekleşmiştir.</w:t>
      </w:r>
    </w:p>
    <w:p w:rsidR="00C73C74" w:rsidRPr="008B2319" w:rsidRDefault="00246A27" w:rsidP="00BE41A3">
      <w:pPr>
        <w:autoSpaceDE w:val="0"/>
        <w:autoSpaceDN w:val="0"/>
        <w:adjustRightInd w:val="0"/>
        <w:spacing w:after="240"/>
        <w:ind w:firstLine="709"/>
        <w:jc w:val="both"/>
        <w:rPr>
          <w:color w:val="000000" w:themeColor="text1"/>
        </w:rPr>
      </w:pPr>
      <w:r w:rsidRPr="008B2319">
        <w:rPr>
          <w:color w:val="000000" w:themeColor="text1"/>
        </w:rPr>
        <w:t>G</w:t>
      </w:r>
      <w:r w:rsidR="00C73C74" w:rsidRPr="008B2319">
        <w:rPr>
          <w:color w:val="000000" w:themeColor="text1"/>
        </w:rPr>
        <w:t>irdiler ve çıktılardaki kuruluş bazında değişimler incelendiğinde bazı kuruluşların kaynaklarındaki artış denetim sonuçlarına olumlu yansırken, bazılarında bu etkinin görülmediği, bazılarının ise kaynaklarında azalış olmasına rağmen denetim performansının arttığı görülmektedir</w:t>
      </w:r>
      <w:r w:rsidR="00471E44" w:rsidRPr="008B2319">
        <w:rPr>
          <w:color w:val="000000" w:themeColor="text1"/>
        </w:rPr>
        <w:t>. Örneğin</w:t>
      </w:r>
      <w:r w:rsidR="00C73C74" w:rsidRPr="008B2319">
        <w:rPr>
          <w:color w:val="000000" w:themeColor="text1"/>
        </w:rPr>
        <w:t>:</w:t>
      </w:r>
    </w:p>
    <w:p w:rsidR="00F512D1" w:rsidRPr="00AA15FA" w:rsidRDefault="00F512D1" w:rsidP="00455652">
      <w:pPr>
        <w:pStyle w:val="ListeParagraf"/>
        <w:autoSpaceDE w:val="0"/>
        <w:autoSpaceDN w:val="0"/>
        <w:adjustRightInd w:val="0"/>
        <w:spacing w:after="240"/>
        <w:ind w:left="0" w:firstLine="709"/>
        <w:jc w:val="both"/>
        <w:rPr>
          <w:strike/>
          <w:color w:val="000000" w:themeColor="text1"/>
        </w:rPr>
      </w:pPr>
      <w:r w:rsidRPr="008B2319">
        <w:rPr>
          <w:color w:val="000000" w:themeColor="text1"/>
        </w:rPr>
        <w:t xml:space="preserve">Yapısı </w:t>
      </w:r>
      <w:r w:rsidRPr="00AA15FA">
        <w:rPr>
          <w:color w:val="000000" w:themeColor="text1"/>
        </w:rPr>
        <w:t xml:space="preserve">gereği verileri genel değerlendirmeye </w:t>
      </w:r>
      <w:proofErr w:type="gramStart"/>
      <w:r w:rsidRPr="00AA15FA">
        <w:rPr>
          <w:color w:val="000000" w:themeColor="text1"/>
        </w:rPr>
        <w:t>dahil</w:t>
      </w:r>
      <w:proofErr w:type="gramEnd"/>
      <w:r w:rsidRPr="00AA15FA">
        <w:rPr>
          <w:color w:val="000000" w:themeColor="text1"/>
        </w:rPr>
        <w:t xml:space="preserve"> edilemeyen ve STB sorumluluğunda bulunan yasal metrolo</w:t>
      </w:r>
      <w:r w:rsidR="002B6A8B" w:rsidRPr="00AA15FA">
        <w:rPr>
          <w:color w:val="000000" w:themeColor="text1"/>
        </w:rPr>
        <w:t xml:space="preserve">ji ürün grubuna ayrılan kaynak </w:t>
      </w:r>
      <w:r w:rsidR="00824DDF" w:rsidRPr="00AA15FA">
        <w:rPr>
          <w:color w:val="000000" w:themeColor="text1"/>
        </w:rPr>
        <w:t xml:space="preserve">1.247.432 </w:t>
      </w:r>
      <w:r w:rsidRPr="00AA15FA">
        <w:rPr>
          <w:color w:val="000000" w:themeColor="text1"/>
        </w:rPr>
        <w:t>TL olmuş</w:t>
      </w:r>
      <w:r w:rsidR="000F35C2" w:rsidRPr="00AA15FA">
        <w:rPr>
          <w:color w:val="000000" w:themeColor="text1"/>
        </w:rPr>
        <w:t xml:space="preserve">tur. </w:t>
      </w:r>
      <w:r w:rsidR="00A00038" w:rsidRPr="00AA15FA">
        <w:rPr>
          <w:color w:val="000000" w:themeColor="text1"/>
        </w:rPr>
        <w:t xml:space="preserve">Bu ürün </w:t>
      </w:r>
      <w:proofErr w:type="gramStart"/>
      <w:r w:rsidR="00A00038" w:rsidRPr="00AA15FA">
        <w:rPr>
          <w:color w:val="000000" w:themeColor="text1"/>
        </w:rPr>
        <w:t xml:space="preserve">grubunda </w:t>
      </w:r>
      <w:r w:rsidRPr="00AA15FA">
        <w:rPr>
          <w:color w:val="000000" w:themeColor="text1"/>
        </w:rPr>
        <w:t xml:space="preserve"> fiili</w:t>
      </w:r>
      <w:proofErr w:type="gramEnd"/>
      <w:r w:rsidRPr="00AA15FA">
        <w:rPr>
          <w:color w:val="000000" w:themeColor="text1"/>
        </w:rPr>
        <w:t xml:space="preserve"> denetim elemanı sayısı </w:t>
      </w:r>
      <w:r w:rsidR="00824DDF" w:rsidRPr="00AA15FA">
        <w:rPr>
          <w:color w:val="000000" w:themeColor="text1"/>
        </w:rPr>
        <w:t xml:space="preserve">76 </w:t>
      </w:r>
      <w:r w:rsidRPr="00AA15FA">
        <w:rPr>
          <w:color w:val="000000" w:themeColor="text1"/>
        </w:rPr>
        <w:t xml:space="preserve"> olarak </w:t>
      </w:r>
      <w:proofErr w:type="spellStart"/>
      <w:r w:rsidRPr="00AA15FA">
        <w:rPr>
          <w:color w:val="000000" w:themeColor="text1"/>
        </w:rPr>
        <w:t>kaydedilmiş</w:t>
      </w:r>
      <w:r w:rsidR="003E33EF" w:rsidRPr="00AA15FA">
        <w:rPr>
          <w:color w:val="000000" w:themeColor="text1"/>
        </w:rPr>
        <w:t>olup</w:t>
      </w:r>
      <w:proofErr w:type="spellEnd"/>
      <w:r w:rsidR="003E33EF" w:rsidRPr="00AA15FA">
        <w:rPr>
          <w:color w:val="000000" w:themeColor="text1"/>
        </w:rPr>
        <w:t xml:space="preserve"> 201</w:t>
      </w:r>
      <w:r w:rsidR="00493BA9" w:rsidRPr="00AA15FA">
        <w:rPr>
          <w:color w:val="000000" w:themeColor="text1"/>
        </w:rPr>
        <w:t>8</w:t>
      </w:r>
      <w:r w:rsidR="003E33EF" w:rsidRPr="00AA15FA">
        <w:rPr>
          <w:color w:val="000000" w:themeColor="text1"/>
        </w:rPr>
        <w:t xml:space="preserve"> yılından farklı olarak sadece piyasada denetim faaliyetini icra eden personel sayısı (muayene işlemi yapan personel sayısı hariç) baz alındığı bilgisi edinilmiştir</w:t>
      </w:r>
      <w:r w:rsidR="003E33EF" w:rsidRPr="008B2319">
        <w:rPr>
          <w:color w:val="000000" w:themeColor="text1"/>
        </w:rPr>
        <w:t xml:space="preserve">. </w:t>
      </w:r>
      <w:r w:rsidR="00824DDF" w:rsidRPr="00AA15FA">
        <w:rPr>
          <w:rFonts w:eastAsiaTheme="minorHAnsi"/>
          <w:color w:val="000000" w:themeColor="text1"/>
          <w:sz w:val="23"/>
          <w:szCs w:val="23"/>
        </w:rPr>
        <w:t>3516 sayılı Kanun kapsamında yapılan kullanımdaki muayenelere ilişkin sayılara ilişkin herhangi bir bütçeleme işlemi yapılmamıştır.</w:t>
      </w:r>
      <w:r w:rsidR="00620C0A" w:rsidRPr="00AA15FA">
        <w:rPr>
          <w:rFonts w:eastAsiaTheme="minorHAnsi"/>
          <w:color w:val="000000" w:themeColor="text1"/>
          <w:sz w:val="23"/>
          <w:szCs w:val="23"/>
        </w:rPr>
        <w:t xml:space="preserve"> </w:t>
      </w:r>
      <w:r w:rsidR="009A2B5F" w:rsidRPr="00AA15FA">
        <w:rPr>
          <w:rFonts w:eastAsiaTheme="minorHAnsi"/>
          <w:color w:val="000000" w:themeColor="text1"/>
          <w:sz w:val="23"/>
          <w:szCs w:val="23"/>
        </w:rPr>
        <w:t>Bakanlıkça</w:t>
      </w:r>
      <w:r w:rsidR="00620C0A" w:rsidRPr="00AA15FA">
        <w:rPr>
          <w:rFonts w:eastAsiaTheme="minorHAnsi"/>
          <w:color w:val="000000" w:themeColor="text1"/>
          <w:sz w:val="23"/>
          <w:szCs w:val="23"/>
        </w:rPr>
        <w:t xml:space="preserve"> </w:t>
      </w:r>
      <w:proofErr w:type="spellStart"/>
      <w:r w:rsidR="009A2B5F" w:rsidRPr="00AA15FA">
        <w:rPr>
          <w:rFonts w:eastAsiaTheme="minorHAnsi"/>
          <w:color w:val="000000" w:themeColor="text1"/>
          <w:sz w:val="23"/>
          <w:szCs w:val="23"/>
        </w:rPr>
        <w:t>PGD’si</w:t>
      </w:r>
      <w:proofErr w:type="spellEnd"/>
      <w:r w:rsidR="009A2B5F" w:rsidRPr="00AA15FA">
        <w:rPr>
          <w:rFonts w:eastAsiaTheme="minorHAnsi"/>
          <w:color w:val="000000" w:themeColor="text1"/>
          <w:sz w:val="23"/>
          <w:szCs w:val="23"/>
        </w:rPr>
        <w:t xml:space="preserve"> yapılan </w:t>
      </w:r>
      <w:r w:rsidR="0095406E" w:rsidRPr="00AA15FA">
        <w:rPr>
          <w:rFonts w:eastAsiaTheme="minorHAnsi"/>
          <w:color w:val="000000" w:themeColor="text1"/>
          <w:sz w:val="23"/>
          <w:szCs w:val="23"/>
        </w:rPr>
        <w:t xml:space="preserve">akaryakıt </w:t>
      </w:r>
      <w:r w:rsidR="009A2B5F" w:rsidRPr="00AA15FA">
        <w:rPr>
          <w:rFonts w:eastAsiaTheme="minorHAnsi"/>
          <w:color w:val="000000" w:themeColor="text1"/>
          <w:sz w:val="23"/>
          <w:szCs w:val="23"/>
        </w:rPr>
        <w:t xml:space="preserve"> </w:t>
      </w:r>
      <w:proofErr w:type="gramStart"/>
      <w:r w:rsidR="009A2B5F" w:rsidRPr="00AA15FA">
        <w:rPr>
          <w:rFonts w:eastAsiaTheme="minorHAnsi"/>
          <w:color w:val="000000" w:themeColor="text1"/>
          <w:sz w:val="23"/>
          <w:szCs w:val="23"/>
        </w:rPr>
        <w:lastRenderedPageBreak/>
        <w:t>ürünleri</w:t>
      </w:r>
      <w:proofErr w:type="gramEnd"/>
      <w:r w:rsidR="009A2B5F" w:rsidRPr="00AA15FA">
        <w:rPr>
          <w:rFonts w:eastAsiaTheme="minorHAnsi"/>
          <w:color w:val="000000" w:themeColor="text1"/>
          <w:sz w:val="23"/>
          <w:szCs w:val="23"/>
        </w:rPr>
        <w:t xml:space="preserve"> için ayrılan kaynak 10.997.208 TL olmuş, fiili denetim elemanı sayısı 614 olarak gerçekleşmişti</w:t>
      </w:r>
      <w:r w:rsidR="0095406E" w:rsidRPr="00AA15FA">
        <w:rPr>
          <w:rFonts w:eastAsiaTheme="minorHAnsi"/>
          <w:color w:val="000000" w:themeColor="text1"/>
          <w:sz w:val="23"/>
          <w:szCs w:val="23"/>
        </w:rPr>
        <w:t>r</w:t>
      </w:r>
      <w:r w:rsidR="009A2B5F" w:rsidRPr="00AA15FA">
        <w:rPr>
          <w:rFonts w:eastAsiaTheme="minorHAnsi"/>
          <w:color w:val="000000" w:themeColor="text1"/>
          <w:sz w:val="23"/>
          <w:szCs w:val="23"/>
        </w:rPr>
        <w:t>.</w:t>
      </w:r>
    </w:p>
    <w:p w:rsidR="00524D8E" w:rsidRPr="00AA15FA" w:rsidRDefault="00F371E8" w:rsidP="00BE41A3">
      <w:pPr>
        <w:pStyle w:val="ListeParagraf"/>
        <w:numPr>
          <w:ilvl w:val="1"/>
          <w:numId w:val="5"/>
        </w:numPr>
        <w:autoSpaceDE w:val="0"/>
        <w:autoSpaceDN w:val="0"/>
        <w:adjustRightInd w:val="0"/>
        <w:spacing w:after="240"/>
        <w:ind w:left="0" w:firstLine="709"/>
        <w:jc w:val="both"/>
        <w:rPr>
          <w:color w:val="000000" w:themeColor="text1"/>
        </w:rPr>
      </w:pPr>
      <w:proofErr w:type="spellStart"/>
      <w:r w:rsidRPr="008B2319">
        <w:rPr>
          <w:color w:val="000000" w:themeColor="text1"/>
        </w:rPr>
        <w:t>AÇSHB</w:t>
      </w:r>
      <w:r w:rsidR="00E7683E" w:rsidRPr="008B2319">
        <w:rPr>
          <w:color w:val="000000" w:themeColor="text1"/>
        </w:rPr>
        <w:t>’de</w:t>
      </w:r>
      <w:proofErr w:type="spellEnd"/>
      <w:r w:rsidR="00E7683E" w:rsidRPr="008B2319">
        <w:rPr>
          <w:color w:val="000000" w:themeColor="text1"/>
        </w:rPr>
        <w:t xml:space="preserve"> PGD </w:t>
      </w:r>
      <w:r w:rsidR="00DF5BA3" w:rsidRPr="008B2319">
        <w:rPr>
          <w:color w:val="000000" w:themeColor="text1"/>
        </w:rPr>
        <w:t>için harcanan kaynak miktarı 201</w:t>
      </w:r>
      <w:r w:rsidR="00BF5031">
        <w:rPr>
          <w:color w:val="000000" w:themeColor="text1"/>
        </w:rPr>
        <w:t>9</w:t>
      </w:r>
      <w:r w:rsidR="00DF5BA3" w:rsidRPr="008B2319">
        <w:rPr>
          <w:color w:val="000000" w:themeColor="text1"/>
        </w:rPr>
        <w:t xml:space="preserve"> yılında bir önceki yıla göre %</w:t>
      </w:r>
      <w:r w:rsidR="00227C73" w:rsidRPr="008B2319">
        <w:rPr>
          <w:color w:val="000000" w:themeColor="text1"/>
        </w:rPr>
        <w:t>14</w:t>
      </w:r>
      <w:r w:rsidR="00E7683E" w:rsidRPr="008B2319">
        <w:rPr>
          <w:color w:val="000000" w:themeColor="text1"/>
        </w:rPr>
        <w:t xml:space="preserve"> oranında bir </w:t>
      </w:r>
      <w:proofErr w:type="spellStart"/>
      <w:r w:rsidR="00DF5BA3" w:rsidRPr="008B2319">
        <w:rPr>
          <w:color w:val="000000" w:themeColor="text1"/>
        </w:rPr>
        <w:t>a</w:t>
      </w:r>
      <w:r w:rsidR="00BF5031">
        <w:rPr>
          <w:color w:val="000000" w:themeColor="text1"/>
        </w:rPr>
        <w:t>zalış</w:t>
      </w:r>
      <w:r w:rsidR="00E7683E" w:rsidRPr="008B2319">
        <w:rPr>
          <w:color w:val="000000" w:themeColor="text1"/>
        </w:rPr>
        <w:t>görülürken</w:t>
      </w:r>
      <w:proofErr w:type="spellEnd"/>
      <w:r w:rsidR="00E7683E" w:rsidRPr="008B2319">
        <w:rPr>
          <w:color w:val="000000" w:themeColor="text1"/>
        </w:rPr>
        <w:t>,</w:t>
      </w:r>
      <w:r w:rsidR="00BF5031">
        <w:rPr>
          <w:color w:val="000000" w:themeColor="text1"/>
        </w:rPr>
        <w:t xml:space="preserve"> fiili denetim elemanı sayısında %9 oranında artış gerçekleşmiştir</w:t>
      </w:r>
      <w:r w:rsidR="003626C6" w:rsidRPr="008B2319">
        <w:rPr>
          <w:color w:val="000000" w:themeColor="text1"/>
        </w:rPr>
        <w:t>. D</w:t>
      </w:r>
      <w:r w:rsidR="00E7683E" w:rsidRPr="008B2319">
        <w:rPr>
          <w:color w:val="000000" w:themeColor="text1"/>
        </w:rPr>
        <w:t>enetlenen ürün parti sayısının</w:t>
      </w:r>
      <w:r w:rsidR="005E285A" w:rsidRPr="008B2319">
        <w:rPr>
          <w:color w:val="000000" w:themeColor="text1"/>
        </w:rPr>
        <w:t xml:space="preserve"> %</w:t>
      </w:r>
      <w:r w:rsidR="00BF5031">
        <w:rPr>
          <w:color w:val="000000" w:themeColor="text1"/>
        </w:rPr>
        <w:t>44 oranında azaldığı</w:t>
      </w:r>
      <w:r w:rsidR="003626C6" w:rsidRPr="008B2319">
        <w:rPr>
          <w:color w:val="000000" w:themeColor="text1"/>
        </w:rPr>
        <w:t xml:space="preserve"> ve</w:t>
      </w:r>
      <w:r w:rsidR="00BF5031">
        <w:rPr>
          <w:color w:val="000000" w:themeColor="text1"/>
        </w:rPr>
        <w:t xml:space="preserve"> uygunsuzluk tespit oranının %51 azaldığı, güvensizlik tespit oranının </w:t>
      </w:r>
      <w:r w:rsidR="00B21517">
        <w:rPr>
          <w:color w:val="000000" w:themeColor="text1"/>
        </w:rPr>
        <w:t>%</w:t>
      </w:r>
      <w:r w:rsidR="00BF5031">
        <w:rPr>
          <w:color w:val="000000" w:themeColor="text1"/>
        </w:rPr>
        <w:t>88 azaldığı görülmektedir (</w:t>
      </w:r>
      <w:r w:rsidR="00E7683E" w:rsidRPr="008B2319">
        <w:rPr>
          <w:color w:val="000000" w:themeColor="text1"/>
        </w:rPr>
        <w:t>uy</w:t>
      </w:r>
      <w:r w:rsidR="00BF5031">
        <w:rPr>
          <w:color w:val="000000" w:themeColor="text1"/>
        </w:rPr>
        <w:t xml:space="preserve">gunsuzluk ve </w:t>
      </w:r>
      <w:r w:rsidR="003626C6" w:rsidRPr="008B2319">
        <w:rPr>
          <w:color w:val="000000" w:themeColor="text1"/>
        </w:rPr>
        <w:t>güve</w:t>
      </w:r>
      <w:r w:rsidR="005E285A" w:rsidRPr="008B2319">
        <w:rPr>
          <w:color w:val="000000" w:themeColor="text1"/>
        </w:rPr>
        <w:t>nsizlik tespit oranının %</w:t>
      </w:r>
      <w:r w:rsidR="00BF5031">
        <w:rPr>
          <w:color w:val="000000" w:themeColor="text1"/>
        </w:rPr>
        <w:t>52</w:t>
      </w:r>
      <w:r w:rsidR="003626C6" w:rsidRPr="008B2319">
        <w:rPr>
          <w:color w:val="000000" w:themeColor="text1"/>
        </w:rPr>
        <w:t xml:space="preserve"> oranında </w:t>
      </w:r>
      <w:r w:rsidR="00BF5031">
        <w:rPr>
          <w:color w:val="000000" w:themeColor="text1"/>
        </w:rPr>
        <w:t>düştüğü</w:t>
      </w:r>
      <w:r w:rsidR="003626C6" w:rsidRPr="008B2319">
        <w:rPr>
          <w:color w:val="000000" w:themeColor="text1"/>
        </w:rPr>
        <w:t xml:space="preserve"> görülmektedir.</w:t>
      </w:r>
      <w:r w:rsidR="00BF5031">
        <w:rPr>
          <w:color w:val="000000" w:themeColor="text1"/>
        </w:rPr>
        <w:t xml:space="preserve">) </w:t>
      </w:r>
      <w:r w:rsidR="00DF5BA3" w:rsidRPr="008B2319">
        <w:rPr>
          <w:color w:val="000000" w:themeColor="text1"/>
        </w:rPr>
        <w:t xml:space="preserve">Girdiler ve çıktılar arasındaki bu durum </w:t>
      </w:r>
      <w:r w:rsidR="00E7683E" w:rsidRPr="008B2319">
        <w:rPr>
          <w:color w:val="000000" w:themeColor="text1"/>
        </w:rPr>
        <w:t xml:space="preserve">Bakanlığın faaliyetlerini </w:t>
      </w:r>
      <w:r w:rsidR="00DF5BA3" w:rsidRPr="008B2319">
        <w:rPr>
          <w:color w:val="000000" w:themeColor="text1"/>
        </w:rPr>
        <w:t xml:space="preserve">bir önceki yıla göre daha </w:t>
      </w:r>
      <w:r w:rsidR="00BF5031">
        <w:rPr>
          <w:color w:val="000000" w:themeColor="text1"/>
        </w:rPr>
        <w:t xml:space="preserve">az </w:t>
      </w:r>
      <w:r w:rsidR="00DF5BA3" w:rsidRPr="008B2319">
        <w:rPr>
          <w:color w:val="000000" w:themeColor="text1"/>
        </w:rPr>
        <w:t xml:space="preserve">etkin olacak </w:t>
      </w:r>
      <w:r w:rsidR="00FF1DB6" w:rsidRPr="008B2319">
        <w:rPr>
          <w:color w:val="000000" w:themeColor="text1"/>
        </w:rPr>
        <w:t xml:space="preserve">şekilde </w:t>
      </w:r>
      <w:r w:rsidR="00E7683E" w:rsidRPr="008B2319">
        <w:rPr>
          <w:color w:val="000000" w:themeColor="text1"/>
        </w:rPr>
        <w:t>planla</w:t>
      </w:r>
      <w:r w:rsidR="00DF5BA3" w:rsidRPr="008B2319">
        <w:rPr>
          <w:color w:val="000000" w:themeColor="text1"/>
        </w:rPr>
        <w:t xml:space="preserve">dığını ve gerçekleştirdiğini işaret </w:t>
      </w:r>
      <w:r w:rsidR="00DF5BA3" w:rsidRPr="00AA15FA">
        <w:rPr>
          <w:color w:val="000000" w:themeColor="text1"/>
        </w:rPr>
        <w:t xml:space="preserve">etmektedir. </w:t>
      </w:r>
    </w:p>
    <w:p w:rsidR="00EE0ABF" w:rsidRPr="00AA15FA" w:rsidRDefault="00EE0ABF" w:rsidP="00EE0ABF">
      <w:pPr>
        <w:pStyle w:val="ListeParagraf"/>
        <w:numPr>
          <w:ilvl w:val="1"/>
          <w:numId w:val="5"/>
        </w:numPr>
        <w:autoSpaceDE w:val="0"/>
        <w:autoSpaceDN w:val="0"/>
        <w:adjustRightInd w:val="0"/>
        <w:spacing w:after="240"/>
        <w:ind w:left="0" w:firstLine="709"/>
        <w:jc w:val="both"/>
        <w:rPr>
          <w:color w:val="000000" w:themeColor="text1"/>
        </w:rPr>
      </w:pPr>
      <w:r w:rsidRPr="00AA15FA">
        <w:rPr>
          <w:color w:val="000000" w:themeColor="text1"/>
        </w:rPr>
        <w:t xml:space="preserve">ÇŞB tarafından 2019 yılında </w:t>
      </w:r>
      <w:proofErr w:type="spellStart"/>
      <w:r w:rsidRPr="00AA15FA">
        <w:rPr>
          <w:color w:val="000000" w:themeColor="text1"/>
        </w:rPr>
        <w:t>PGD’ye</w:t>
      </w:r>
      <w:proofErr w:type="spellEnd"/>
      <w:r w:rsidRPr="00AA15FA">
        <w:rPr>
          <w:color w:val="000000" w:themeColor="text1"/>
        </w:rPr>
        <w:t xml:space="preserve"> ayrılan kaynak 12.789.874 TL olarak kaydedilmiştir. Bununla beraber, fiili denetmen sayısı 330’dan 328’e</w:t>
      </w:r>
      <w:r w:rsidR="00620C0A" w:rsidRPr="00AA15FA">
        <w:rPr>
          <w:color w:val="000000" w:themeColor="text1"/>
        </w:rPr>
        <w:t xml:space="preserve"> </w:t>
      </w:r>
      <w:r w:rsidRPr="00AA15FA">
        <w:rPr>
          <w:color w:val="000000" w:themeColor="text1"/>
        </w:rPr>
        <w:t xml:space="preserve">düşmüştür. Denetlenen ürün parti sayısı 14.573 olarak gerçekleşmiş, bu ürünlerden %2’si (296) güvensiz ve %21’i (3.095) uygunsuz bulunmuştur. </w:t>
      </w:r>
    </w:p>
    <w:p w:rsidR="00524D8E" w:rsidRPr="00590827" w:rsidRDefault="00B12043" w:rsidP="00BE41A3">
      <w:pPr>
        <w:pStyle w:val="ListeParagraf"/>
        <w:numPr>
          <w:ilvl w:val="1"/>
          <w:numId w:val="5"/>
        </w:numPr>
        <w:autoSpaceDE w:val="0"/>
        <w:autoSpaceDN w:val="0"/>
        <w:adjustRightInd w:val="0"/>
        <w:spacing w:after="240"/>
        <w:ind w:left="0" w:firstLine="709"/>
        <w:jc w:val="both"/>
        <w:rPr>
          <w:color w:val="000000" w:themeColor="text1"/>
        </w:rPr>
      </w:pPr>
      <w:proofErr w:type="spellStart"/>
      <w:r w:rsidRPr="000938E4">
        <w:rPr>
          <w:color w:val="000000" w:themeColor="text1"/>
        </w:rPr>
        <w:t>TO</w:t>
      </w:r>
      <w:r w:rsidR="00524D8E" w:rsidRPr="000938E4">
        <w:rPr>
          <w:color w:val="000000" w:themeColor="text1"/>
        </w:rPr>
        <w:t>B</w:t>
      </w:r>
      <w:r w:rsidR="00524D8E" w:rsidRPr="00590827">
        <w:rPr>
          <w:color w:val="000000" w:themeColor="text1"/>
        </w:rPr>
        <w:t>’</w:t>
      </w:r>
      <w:r w:rsidR="00620C0A">
        <w:rPr>
          <w:color w:val="000000" w:themeColor="text1"/>
        </w:rPr>
        <w:t>un</w:t>
      </w:r>
      <w:proofErr w:type="spellEnd"/>
      <w:r w:rsidR="00620C0A">
        <w:rPr>
          <w:color w:val="000000" w:themeColor="text1"/>
        </w:rPr>
        <w:t xml:space="preserve"> </w:t>
      </w:r>
      <w:proofErr w:type="spellStart"/>
      <w:r w:rsidR="000938E4" w:rsidRPr="00590827">
        <w:rPr>
          <w:color w:val="000000" w:themeColor="text1"/>
        </w:rPr>
        <w:t>PGD’ye</w:t>
      </w:r>
      <w:proofErr w:type="spellEnd"/>
      <w:r w:rsidR="000938E4" w:rsidRPr="00590827">
        <w:rPr>
          <w:color w:val="000000" w:themeColor="text1"/>
        </w:rPr>
        <w:t xml:space="preserve"> ayırdığı maddi </w:t>
      </w:r>
      <w:r w:rsidR="000938E4" w:rsidRPr="001B2E1C">
        <w:rPr>
          <w:color w:val="000000" w:themeColor="text1"/>
        </w:rPr>
        <w:t>kayna</w:t>
      </w:r>
      <w:r w:rsidR="000938E4">
        <w:rPr>
          <w:color w:val="000000" w:themeColor="text1"/>
        </w:rPr>
        <w:t xml:space="preserve">kta </w:t>
      </w:r>
      <w:r w:rsidR="00C43CC7">
        <w:rPr>
          <w:color w:val="000000" w:themeColor="text1"/>
        </w:rPr>
        <w:t xml:space="preserve">ve fiili denetim </w:t>
      </w:r>
      <w:r w:rsidR="00C43CC7" w:rsidRPr="003824A6">
        <w:rPr>
          <w:color w:val="000000" w:themeColor="text1"/>
        </w:rPr>
        <w:t>gerçekleştiren</w:t>
      </w:r>
      <w:r w:rsidR="00C43CC7">
        <w:rPr>
          <w:color w:val="000000" w:themeColor="text1"/>
        </w:rPr>
        <w:t xml:space="preserve"> personel sayısında </w:t>
      </w:r>
      <w:r w:rsidR="000938E4">
        <w:rPr>
          <w:color w:val="000000" w:themeColor="text1"/>
        </w:rPr>
        <w:t xml:space="preserve">azalma olmasına rağmen, </w:t>
      </w:r>
      <w:r w:rsidR="003253FD">
        <w:rPr>
          <w:color w:val="000000" w:themeColor="text1"/>
        </w:rPr>
        <w:t xml:space="preserve">denetlenen ürün parti </w:t>
      </w:r>
      <w:proofErr w:type="spellStart"/>
      <w:r w:rsidR="003253FD">
        <w:rPr>
          <w:color w:val="000000" w:themeColor="text1"/>
        </w:rPr>
        <w:t>sayısında</w:t>
      </w:r>
      <w:r w:rsidR="000938E4">
        <w:rPr>
          <w:color w:val="000000" w:themeColor="text1"/>
        </w:rPr>
        <w:t>ve</w:t>
      </w:r>
      <w:proofErr w:type="spellEnd"/>
      <w:r w:rsidR="000938E4">
        <w:rPr>
          <w:color w:val="000000" w:themeColor="text1"/>
        </w:rPr>
        <w:t xml:space="preserve"> </w:t>
      </w:r>
      <w:r w:rsidR="00C43CC7">
        <w:rPr>
          <w:color w:val="000000" w:themeColor="text1"/>
        </w:rPr>
        <w:t xml:space="preserve">tespit edilen uygunsuzluk ve </w:t>
      </w:r>
      <w:r w:rsidR="000B2519">
        <w:rPr>
          <w:color w:val="000000" w:themeColor="text1"/>
        </w:rPr>
        <w:t>güvensizlik sayısında</w:t>
      </w:r>
      <w:r w:rsidR="000938E4">
        <w:rPr>
          <w:color w:val="000000" w:themeColor="text1"/>
        </w:rPr>
        <w:t xml:space="preserve"> artış görülmesi, denetimlerin bir önceki yıla göre daha etkin olacak şekilde </w:t>
      </w:r>
      <w:r w:rsidR="000938E4" w:rsidRPr="00590827">
        <w:rPr>
          <w:color w:val="000000" w:themeColor="text1"/>
        </w:rPr>
        <w:t>planla</w:t>
      </w:r>
      <w:r w:rsidR="00C43CC7">
        <w:rPr>
          <w:color w:val="000000" w:themeColor="text1"/>
        </w:rPr>
        <w:t>n</w:t>
      </w:r>
      <w:r w:rsidR="000938E4">
        <w:rPr>
          <w:color w:val="000000" w:themeColor="text1"/>
        </w:rPr>
        <w:t>dığını ve gerçekleştirdiğini göstermektedir.</w:t>
      </w:r>
    </w:p>
    <w:p w:rsidR="00C73C74" w:rsidRPr="008B2319" w:rsidRDefault="000938E4" w:rsidP="00721B8A">
      <w:pPr>
        <w:pStyle w:val="ListeParagraf"/>
        <w:numPr>
          <w:ilvl w:val="1"/>
          <w:numId w:val="5"/>
        </w:numPr>
        <w:autoSpaceDE w:val="0"/>
        <w:autoSpaceDN w:val="0"/>
        <w:adjustRightInd w:val="0"/>
        <w:spacing w:after="240"/>
        <w:ind w:left="0" w:firstLine="709"/>
        <w:jc w:val="both"/>
        <w:rPr>
          <w:color w:val="000000" w:themeColor="text1"/>
        </w:rPr>
      </w:pPr>
      <w:proofErr w:type="spellStart"/>
      <w:r w:rsidRPr="006111E7">
        <w:rPr>
          <w:color w:val="000000" w:themeColor="text1"/>
        </w:rPr>
        <w:t>TK</w:t>
      </w:r>
      <w:r w:rsidR="00C43CC7">
        <w:rPr>
          <w:color w:val="000000" w:themeColor="text1"/>
        </w:rPr>
        <w:t>PG</w:t>
      </w:r>
      <w:r w:rsidRPr="006111E7">
        <w:rPr>
          <w:color w:val="000000" w:themeColor="text1"/>
        </w:rPr>
        <w:t>GM</w:t>
      </w:r>
      <w:r w:rsidR="00471E44" w:rsidRPr="006111E7">
        <w:rPr>
          <w:color w:val="000000" w:themeColor="text1"/>
        </w:rPr>
        <w:t>’de</w:t>
      </w:r>
      <w:proofErr w:type="spellEnd"/>
      <w:r w:rsidR="00620C0A">
        <w:rPr>
          <w:color w:val="000000" w:themeColor="text1"/>
        </w:rPr>
        <w:t xml:space="preserve"> </w:t>
      </w:r>
      <w:proofErr w:type="spellStart"/>
      <w:r w:rsidR="000B2519">
        <w:rPr>
          <w:color w:val="000000" w:themeColor="text1"/>
        </w:rPr>
        <w:t>PGD’ye</w:t>
      </w:r>
      <w:proofErr w:type="spellEnd"/>
      <w:r w:rsidR="000B2519">
        <w:rPr>
          <w:color w:val="000000" w:themeColor="text1"/>
        </w:rPr>
        <w:t xml:space="preserve"> ayrılan maddi kaynakta</w:t>
      </w:r>
      <w:r w:rsidR="006111E7">
        <w:rPr>
          <w:color w:val="000000" w:themeColor="text1"/>
        </w:rPr>
        <w:t xml:space="preserve"> 201</w:t>
      </w:r>
      <w:r w:rsidR="00C43CC7">
        <w:rPr>
          <w:color w:val="000000" w:themeColor="text1"/>
        </w:rPr>
        <w:t>9</w:t>
      </w:r>
      <w:r w:rsidR="006111E7">
        <w:rPr>
          <w:color w:val="000000" w:themeColor="text1"/>
        </w:rPr>
        <w:t xml:space="preserve"> yılında bir önceki yıla göre</w:t>
      </w:r>
      <w:r w:rsidR="00620C0A">
        <w:rPr>
          <w:color w:val="000000" w:themeColor="text1"/>
        </w:rPr>
        <w:t xml:space="preserve"> </w:t>
      </w:r>
      <w:r w:rsidR="006111E7">
        <w:rPr>
          <w:color w:val="000000" w:themeColor="text1"/>
        </w:rPr>
        <w:t>%</w:t>
      </w:r>
      <w:r w:rsidR="00C43CC7">
        <w:rPr>
          <w:color w:val="000000" w:themeColor="text1"/>
        </w:rPr>
        <w:t>44 oranında azalma</w:t>
      </w:r>
      <w:r w:rsidR="006111E7">
        <w:rPr>
          <w:color w:val="000000" w:themeColor="text1"/>
        </w:rPr>
        <w:t xml:space="preserve"> görülmüş ve PGD için ayrılan kaynak miktarı </w:t>
      </w:r>
      <w:r w:rsidR="00C43CC7">
        <w:rPr>
          <w:color w:val="000000" w:themeColor="text1"/>
        </w:rPr>
        <w:t>7</w:t>
      </w:r>
      <w:r w:rsidR="006111E7">
        <w:rPr>
          <w:color w:val="000000" w:themeColor="text1"/>
        </w:rPr>
        <w:t>.6</w:t>
      </w:r>
      <w:r w:rsidR="00C43CC7">
        <w:rPr>
          <w:color w:val="000000" w:themeColor="text1"/>
        </w:rPr>
        <w:t>68</w:t>
      </w:r>
      <w:r w:rsidR="006111E7">
        <w:rPr>
          <w:color w:val="000000" w:themeColor="text1"/>
        </w:rPr>
        <w:t>.</w:t>
      </w:r>
      <w:r w:rsidR="00C43CC7">
        <w:rPr>
          <w:color w:val="000000" w:themeColor="text1"/>
        </w:rPr>
        <w:t>926</w:t>
      </w:r>
      <w:r w:rsidR="006111E7">
        <w:rPr>
          <w:color w:val="000000" w:themeColor="text1"/>
        </w:rPr>
        <w:t xml:space="preserve"> TL olmuştur. 201</w:t>
      </w:r>
      <w:r w:rsidR="00C43CC7">
        <w:rPr>
          <w:color w:val="000000" w:themeColor="text1"/>
        </w:rPr>
        <w:t>9</w:t>
      </w:r>
      <w:r w:rsidR="006111E7">
        <w:rPr>
          <w:color w:val="000000" w:themeColor="text1"/>
        </w:rPr>
        <w:t xml:space="preserve"> yılında fiili denetim yapan personel </w:t>
      </w:r>
      <w:r w:rsidR="006111E7" w:rsidRPr="008B2319">
        <w:rPr>
          <w:color w:val="000000" w:themeColor="text1"/>
        </w:rPr>
        <w:t>sayısı 11</w:t>
      </w:r>
      <w:r w:rsidR="00C43CC7">
        <w:rPr>
          <w:color w:val="000000" w:themeColor="text1"/>
        </w:rPr>
        <w:t>2’d</w:t>
      </w:r>
      <w:r w:rsidR="006111E7" w:rsidRPr="008B2319">
        <w:rPr>
          <w:color w:val="000000" w:themeColor="text1"/>
        </w:rPr>
        <w:t>en 11</w:t>
      </w:r>
      <w:r w:rsidR="00C43CC7">
        <w:rPr>
          <w:color w:val="000000" w:themeColor="text1"/>
        </w:rPr>
        <w:t>1’</w:t>
      </w:r>
      <w:r w:rsidR="006111E7" w:rsidRPr="008B2319">
        <w:rPr>
          <w:color w:val="000000" w:themeColor="text1"/>
        </w:rPr>
        <w:t xml:space="preserve">e düşmüştür. </w:t>
      </w:r>
      <w:proofErr w:type="spellStart"/>
      <w:r w:rsidR="006111E7" w:rsidRPr="008B2319">
        <w:rPr>
          <w:color w:val="000000" w:themeColor="text1"/>
        </w:rPr>
        <w:t>PGD’ye</w:t>
      </w:r>
      <w:proofErr w:type="spellEnd"/>
      <w:r w:rsidR="006111E7" w:rsidRPr="008B2319">
        <w:rPr>
          <w:color w:val="000000" w:themeColor="text1"/>
        </w:rPr>
        <w:t xml:space="preserve"> ayrılan maddi kaynaktaki </w:t>
      </w:r>
      <w:r w:rsidR="00C43CC7">
        <w:rPr>
          <w:color w:val="000000" w:themeColor="text1"/>
        </w:rPr>
        <w:t xml:space="preserve">azalışa rağmen </w:t>
      </w:r>
      <w:r w:rsidR="006111E7" w:rsidRPr="008B2319">
        <w:rPr>
          <w:color w:val="000000" w:themeColor="text1"/>
        </w:rPr>
        <w:t xml:space="preserve">yapılan denetimlerin oranında </w:t>
      </w:r>
      <w:r w:rsidR="00C36249">
        <w:rPr>
          <w:color w:val="000000" w:themeColor="text1"/>
        </w:rPr>
        <w:t>ise</w:t>
      </w:r>
      <w:r w:rsidR="006111E7" w:rsidRPr="008B2319">
        <w:rPr>
          <w:color w:val="000000" w:themeColor="text1"/>
        </w:rPr>
        <w:t xml:space="preserve"> ciddi bir artış görülmüştür. Buna rağmen tespit </w:t>
      </w:r>
      <w:proofErr w:type="gramStart"/>
      <w:r w:rsidR="006111E7" w:rsidRPr="008B2319">
        <w:rPr>
          <w:color w:val="000000" w:themeColor="text1"/>
        </w:rPr>
        <w:t>edilen  uygu</w:t>
      </w:r>
      <w:r w:rsidR="00C36249">
        <w:rPr>
          <w:color w:val="000000" w:themeColor="text1"/>
        </w:rPr>
        <w:t>nsuzluk</w:t>
      </w:r>
      <w:proofErr w:type="gramEnd"/>
      <w:r w:rsidR="00C36249">
        <w:rPr>
          <w:color w:val="000000" w:themeColor="text1"/>
        </w:rPr>
        <w:t xml:space="preserve"> oranı bir önceki yılda </w:t>
      </w:r>
      <w:r w:rsidR="005E285A" w:rsidRPr="008B2319">
        <w:rPr>
          <w:color w:val="000000" w:themeColor="text1"/>
        </w:rPr>
        <w:t xml:space="preserve"> %</w:t>
      </w:r>
      <w:r w:rsidR="00C36249">
        <w:rPr>
          <w:color w:val="000000" w:themeColor="text1"/>
        </w:rPr>
        <w:t>39 iken 2019 yılında %18</w:t>
      </w:r>
      <w:r w:rsidR="00C43CC7">
        <w:rPr>
          <w:color w:val="000000" w:themeColor="text1"/>
        </w:rPr>
        <w:t xml:space="preserve"> ve güvensizlik oranı bi</w:t>
      </w:r>
      <w:r w:rsidR="00C36249">
        <w:rPr>
          <w:color w:val="000000" w:themeColor="text1"/>
        </w:rPr>
        <w:t>r</w:t>
      </w:r>
      <w:r w:rsidR="00C43CC7">
        <w:rPr>
          <w:color w:val="000000" w:themeColor="text1"/>
        </w:rPr>
        <w:t xml:space="preserve"> önceki yılda %6 iken 2019 yılında %2</w:t>
      </w:r>
      <w:r w:rsidR="00C36249">
        <w:rPr>
          <w:color w:val="000000" w:themeColor="text1"/>
        </w:rPr>
        <w:t xml:space="preserve"> oranında gerçekleşmiştir. Tespit edilen uygunsuz ve güvensizlik oranındaki azalış, d</w:t>
      </w:r>
      <w:r w:rsidR="00682108" w:rsidRPr="008B2319">
        <w:rPr>
          <w:color w:val="000000" w:themeColor="text1"/>
        </w:rPr>
        <w:t xml:space="preserve">enetimlerin </w:t>
      </w:r>
      <w:r w:rsidR="00721B8A" w:rsidRPr="008B2319">
        <w:rPr>
          <w:color w:val="000000" w:themeColor="text1"/>
        </w:rPr>
        <w:t xml:space="preserve">daha az etkin olduğu gibi görülmekle beraber, tespit edilen güvensizlik oranının düşüşü her daim etkin olmayan bir planlamaya işaret etmemekte, sektörlerin mevzuata uygun üretim/ ithalat yöntemlerini benimsemesiyle birlikte piyasada güvensiz ürün sayısında düşüş olarak da yorumlanabilmektedir. Nitekim sektör temsilcileri ile düzenlenen toplantılarda, küçük üretici ve satıcılar nezdinde gerçekleştirilen denetimlerde gerekli bilgilendirmelerin sağlanması, tüketicilerin satın alma kararı verirken güvenli ürünlere yönelmeleri gibi faktörler bu yönelimi sağlamaktadır. </w:t>
      </w:r>
    </w:p>
    <w:p w:rsidR="00AA15FA" w:rsidRPr="00AA15FA" w:rsidRDefault="00524D8E" w:rsidP="008304CB">
      <w:pPr>
        <w:pStyle w:val="ListeParagraf"/>
        <w:numPr>
          <w:ilvl w:val="1"/>
          <w:numId w:val="5"/>
        </w:numPr>
        <w:autoSpaceDE w:val="0"/>
        <w:autoSpaceDN w:val="0"/>
        <w:adjustRightInd w:val="0"/>
        <w:spacing w:after="240"/>
        <w:ind w:left="0" w:firstLine="709"/>
        <w:jc w:val="both"/>
        <w:rPr>
          <w:color w:val="C0504D" w:themeColor="accent2"/>
        </w:rPr>
      </w:pPr>
      <w:proofErr w:type="spellStart"/>
      <w:r w:rsidRPr="008B2319">
        <w:rPr>
          <w:color w:val="000000" w:themeColor="text1"/>
        </w:rPr>
        <w:t>SB’de</w:t>
      </w:r>
      <w:proofErr w:type="spellEnd"/>
      <w:r w:rsidR="00620C0A">
        <w:rPr>
          <w:color w:val="000000" w:themeColor="text1"/>
        </w:rPr>
        <w:t xml:space="preserve"> </w:t>
      </w:r>
      <w:proofErr w:type="spellStart"/>
      <w:r w:rsidR="003376DA" w:rsidRPr="008B2319">
        <w:rPr>
          <w:color w:val="000000" w:themeColor="text1"/>
        </w:rPr>
        <w:t>PGD’ye</w:t>
      </w:r>
      <w:proofErr w:type="spellEnd"/>
      <w:r w:rsidR="003376DA" w:rsidRPr="008B2319">
        <w:rPr>
          <w:color w:val="000000" w:themeColor="text1"/>
        </w:rPr>
        <w:t xml:space="preserve"> ayrılan kaynak</w:t>
      </w:r>
      <w:r w:rsidR="00730779">
        <w:rPr>
          <w:color w:val="000000" w:themeColor="text1"/>
        </w:rPr>
        <w:t>,</w:t>
      </w:r>
      <w:r w:rsidR="00620C0A">
        <w:rPr>
          <w:color w:val="000000" w:themeColor="text1"/>
        </w:rPr>
        <w:t xml:space="preserve"> </w:t>
      </w:r>
      <w:r w:rsidR="00F86A7C" w:rsidRPr="008B2319">
        <w:rPr>
          <w:color w:val="000000" w:themeColor="text1"/>
        </w:rPr>
        <w:t xml:space="preserve">denetlenen ürün parti </w:t>
      </w:r>
      <w:proofErr w:type="spellStart"/>
      <w:r w:rsidR="00F86A7C" w:rsidRPr="008B2319">
        <w:rPr>
          <w:color w:val="000000" w:themeColor="text1"/>
        </w:rPr>
        <w:t>sayısıfiili</w:t>
      </w:r>
      <w:proofErr w:type="spellEnd"/>
      <w:r w:rsidR="00F86A7C" w:rsidRPr="008B2319">
        <w:rPr>
          <w:color w:val="000000" w:themeColor="text1"/>
        </w:rPr>
        <w:t xml:space="preserve"> denetim gerçekleştiren görevli personel </w:t>
      </w:r>
      <w:proofErr w:type="spellStart"/>
      <w:r w:rsidR="00F86A7C" w:rsidRPr="008B2319">
        <w:rPr>
          <w:color w:val="000000" w:themeColor="text1"/>
        </w:rPr>
        <w:t>sayısında</w:t>
      </w:r>
      <w:r w:rsidR="003253FD" w:rsidRPr="008B2319">
        <w:rPr>
          <w:color w:val="000000" w:themeColor="text1"/>
        </w:rPr>
        <w:t>ve</w:t>
      </w:r>
      <w:proofErr w:type="spellEnd"/>
      <w:r w:rsidR="003253FD" w:rsidRPr="008B2319">
        <w:rPr>
          <w:color w:val="000000" w:themeColor="text1"/>
        </w:rPr>
        <w:t xml:space="preserve"> </w:t>
      </w:r>
      <w:r w:rsidR="003376DA" w:rsidRPr="008B2319">
        <w:rPr>
          <w:color w:val="000000" w:themeColor="text1"/>
        </w:rPr>
        <w:t xml:space="preserve">tespit edilen uygunsuzluk/güvensizlik sayısında bir önceki yıla göre </w:t>
      </w:r>
      <w:r w:rsidR="003376DA">
        <w:rPr>
          <w:color w:val="000000" w:themeColor="text1"/>
        </w:rPr>
        <w:t xml:space="preserve">düşüş kaydedilmiştir. </w:t>
      </w:r>
      <w:r w:rsidR="00730779">
        <w:rPr>
          <w:color w:val="000000" w:themeColor="text1"/>
        </w:rPr>
        <w:t xml:space="preserve">Özellikle fiili denetim gerçekleştiren personel sayısında 2018 yılında 4.316 olan sayı 2019 yılında %96 azalarak 164’e düşmüştür. </w:t>
      </w:r>
      <w:r w:rsidR="00912F0E">
        <w:rPr>
          <w:color w:val="000000" w:themeColor="text1"/>
        </w:rPr>
        <w:t xml:space="preserve">Bakanlıkça </w:t>
      </w:r>
      <w:proofErr w:type="gramStart"/>
      <w:r w:rsidR="00912F0E">
        <w:rPr>
          <w:color w:val="000000" w:themeColor="text1"/>
        </w:rPr>
        <w:t>d</w:t>
      </w:r>
      <w:r w:rsidR="00730779">
        <w:rPr>
          <w:color w:val="000000" w:themeColor="text1"/>
        </w:rPr>
        <w:t>enetlenen  ürün</w:t>
      </w:r>
      <w:proofErr w:type="gramEnd"/>
      <w:r w:rsidR="00730779">
        <w:rPr>
          <w:color w:val="000000" w:themeColor="text1"/>
        </w:rPr>
        <w:t xml:space="preserve"> parti sayısında ciddi oranda değişim olmamasına rağmen (%5 oranında azalma) uygunsuzluk tespit oranı 2018’de %21 </w:t>
      </w:r>
      <w:r w:rsidR="00912F0E">
        <w:rPr>
          <w:color w:val="000000" w:themeColor="text1"/>
        </w:rPr>
        <w:t>i</w:t>
      </w:r>
      <w:r w:rsidR="00730779">
        <w:rPr>
          <w:color w:val="000000" w:themeColor="text1"/>
        </w:rPr>
        <w:t>ken 2019’da %2’</w:t>
      </w:r>
      <w:r w:rsidR="00912F0E">
        <w:rPr>
          <w:color w:val="000000" w:themeColor="text1"/>
        </w:rPr>
        <w:t>ye düşmüş, güvensizlik tespit oranı hemen hemen aynı oranda gerçekleşmiştir.</w:t>
      </w:r>
      <w:r w:rsidR="00730779">
        <w:rPr>
          <w:color w:val="000000" w:themeColor="text1"/>
        </w:rPr>
        <w:t xml:space="preserve">  201</w:t>
      </w:r>
      <w:r w:rsidR="00912F0E">
        <w:rPr>
          <w:color w:val="000000" w:themeColor="text1"/>
        </w:rPr>
        <w:t>9</w:t>
      </w:r>
      <w:r w:rsidR="00730779">
        <w:rPr>
          <w:color w:val="000000" w:themeColor="text1"/>
        </w:rPr>
        <w:t xml:space="preserve"> yılında </w:t>
      </w:r>
      <w:r w:rsidR="00912F0E" w:rsidRPr="00583463">
        <w:rPr>
          <w:color w:val="000000" w:themeColor="text1"/>
        </w:rPr>
        <w:t>o</w:t>
      </w:r>
      <w:r w:rsidR="003376DA" w:rsidRPr="00583463">
        <w:rPr>
          <w:color w:val="000000" w:themeColor="text1"/>
        </w:rPr>
        <w:t>rtaya çıkan b</w:t>
      </w:r>
      <w:r w:rsidR="00912F0E" w:rsidRPr="00583463">
        <w:rPr>
          <w:color w:val="000000" w:themeColor="text1"/>
        </w:rPr>
        <w:t>u tablonun Bak</w:t>
      </w:r>
      <w:r w:rsidR="00823197" w:rsidRPr="00583463">
        <w:rPr>
          <w:color w:val="000000" w:themeColor="text1"/>
        </w:rPr>
        <w:t>anlıkça PGD yapan fiili personel</w:t>
      </w:r>
      <w:r w:rsidR="00912F0E" w:rsidRPr="00583463">
        <w:rPr>
          <w:color w:val="000000" w:themeColor="text1"/>
        </w:rPr>
        <w:t xml:space="preserve"> sayısının azalmasından </w:t>
      </w:r>
      <w:r w:rsidR="003376DA" w:rsidRPr="00583463">
        <w:rPr>
          <w:color w:val="000000" w:themeColor="text1"/>
        </w:rPr>
        <w:t xml:space="preserve">kaynaklandığı değerlendirilmektedir. </w:t>
      </w:r>
      <w:r w:rsidR="00EF67C8" w:rsidRPr="00583463">
        <w:rPr>
          <w:color w:val="000000" w:themeColor="text1"/>
        </w:rPr>
        <w:t xml:space="preserve">Öte </w:t>
      </w:r>
      <w:r w:rsidR="00EF67C8" w:rsidRPr="00645C67">
        <w:rPr>
          <w:color w:val="000000" w:themeColor="text1"/>
        </w:rPr>
        <w:t xml:space="preserve">yandan </w:t>
      </w:r>
      <w:r w:rsidR="00F86A7C" w:rsidRPr="00645C67">
        <w:rPr>
          <w:color w:val="000000" w:themeColor="text1"/>
        </w:rPr>
        <w:t>kozmetiklerde denetlenen ürün sayısı</w:t>
      </w:r>
      <w:r w:rsidR="00823197" w:rsidRPr="00645C67">
        <w:rPr>
          <w:color w:val="000000" w:themeColor="text1"/>
        </w:rPr>
        <w:t xml:space="preserve"> 2018’de 1380 ve 2019’da 1</w:t>
      </w:r>
      <w:r w:rsidR="00293944" w:rsidRPr="00645C67">
        <w:rPr>
          <w:color w:val="000000" w:themeColor="text1"/>
        </w:rPr>
        <w:t>328 olmasına rağmen,  2018’de 57</w:t>
      </w:r>
      <w:r w:rsidR="00823197" w:rsidRPr="00645C67">
        <w:rPr>
          <w:color w:val="000000" w:themeColor="text1"/>
        </w:rPr>
        <w:t xml:space="preserve">9 ve 2019’da 801 adet uygunsuzluk tespit edilmiştir. Bununla birlikte, 2018’de 64, 2019’da 38 adet güvensizlik tespit edilmiştir. Bu kapsamda, </w:t>
      </w:r>
      <w:r w:rsidR="003A2642" w:rsidRPr="00645C67">
        <w:rPr>
          <w:color w:val="000000" w:themeColor="text1"/>
        </w:rPr>
        <w:t>tespit edilen uygunsuz</w:t>
      </w:r>
      <w:r w:rsidR="005E285A" w:rsidRPr="00645C67">
        <w:rPr>
          <w:color w:val="000000" w:themeColor="text1"/>
        </w:rPr>
        <w:t xml:space="preserve"> ürün parti sayısının</w:t>
      </w:r>
      <w:r w:rsidR="00645C67" w:rsidRPr="00645C67">
        <w:rPr>
          <w:color w:val="000000" w:themeColor="text1"/>
        </w:rPr>
        <w:t xml:space="preserve"> </w:t>
      </w:r>
      <w:r w:rsidR="00823197" w:rsidRPr="00645C67">
        <w:rPr>
          <w:color w:val="000000" w:themeColor="text1"/>
        </w:rPr>
        <w:t>%</w:t>
      </w:r>
      <w:r w:rsidR="00293944" w:rsidRPr="00645C67">
        <w:rPr>
          <w:color w:val="000000" w:themeColor="text1"/>
        </w:rPr>
        <w:t>38</w:t>
      </w:r>
      <w:r w:rsidR="00620C0A" w:rsidRPr="00645C67">
        <w:rPr>
          <w:color w:val="000000" w:themeColor="text1"/>
        </w:rPr>
        <w:t xml:space="preserve"> </w:t>
      </w:r>
      <w:r w:rsidR="00823197" w:rsidRPr="00645C67">
        <w:rPr>
          <w:color w:val="000000" w:themeColor="text1"/>
        </w:rPr>
        <w:t>oranında arttığı ve güvensiz ürün parti sayısının %40 oranında azaldığı görülmektedir.</w:t>
      </w:r>
      <w:r w:rsidR="00620C0A" w:rsidRPr="00645C67">
        <w:rPr>
          <w:color w:val="000000" w:themeColor="text1"/>
        </w:rPr>
        <w:t xml:space="preserve"> </w:t>
      </w:r>
      <w:r w:rsidR="00823197" w:rsidRPr="00645C67">
        <w:rPr>
          <w:color w:val="000000" w:themeColor="text1"/>
        </w:rPr>
        <w:t>T</w:t>
      </w:r>
      <w:r w:rsidR="00EF67C8" w:rsidRPr="00645C67">
        <w:rPr>
          <w:color w:val="000000" w:themeColor="text1"/>
        </w:rPr>
        <w:t>ıbbi cihazlar</w:t>
      </w:r>
      <w:r w:rsidR="00EF67C8" w:rsidRPr="00583463">
        <w:rPr>
          <w:color w:val="000000" w:themeColor="text1"/>
        </w:rPr>
        <w:t xml:space="preserve"> ürün grubu</w:t>
      </w:r>
      <w:r w:rsidR="003A2642" w:rsidRPr="00583463">
        <w:rPr>
          <w:color w:val="000000" w:themeColor="text1"/>
        </w:rPr>
        <w:t>nda denetle</w:t>
      </w:r>
      <w:r w:rsidR="005E285A" w:rsidRPr="00583463">
        <w:rPr>
          <w:color w:val="000000" w:themeColor="text1"/>
        </w:rPr>
        <w:t>nen ürün sayısı %</w:t>
      </w:r>
      <w:r w:rsidR="00823197" w:rsidRPr="00583463">
        <w:rPr>
          <w:color w:val="000000" w:themeColor="text1"/>
        </w:rPr>
        <w:t xml:space="preserve">58 </w:t>
      </w:r>
      <w:r w:rsidR="003A2642" w:rsidRPr="00583463">
        <w:rPr>
          <w:color w:val="000000" w:themeColor="text1"/>
        </w:rPr>
        <w:t xml:space="preserve">artmasına rağmen </w:t>
      </w:r>
      <w:r w:rsidR="0037378C" w:rsidRPr="00583463">
        <w:rPr>
          <w:color w:val="000000" w:themeColor="text1"/>
        </w:rPr>
        <w:t>tespit edilen uygunsuz</w:t>
      </w:r>
      <w:r w:rsidR="00583463" w:rsidRPr="00583463">
        <w:rPr>
          <w:color w:val="000000" w:themeColor="text1"/>
        </w:rPr>
        <w:t xml:space="preserve"> ürün parti sayısı 175 (%6</w:t>
      </w:r>
      <w:r w:rsidR="00823197" w:rsidRPr="00583463">
        <w:rPr>
          <w:color w:val="000000" w:themeColor="text1"/>
        </w:rPr>
        <w:t xml:space="preserve"> oranında), güvensiz ürün parti sayısı 11 (%0,4 oranında) olarak gerçekleşmiştir. 2018 </w:t>
      </w:r>
      <w:r w:rsidR="00583463" w:rsidRPr="00583463">
        <w:rPr>
          <w:color w:val="000000" w:themeColor="text1"/>
        </w:rPr>
        <w:t>yılında 112 adet uygunsuzluk ve 21 adet güvensizlik tespit edilmiş olması, denetlenen ürün sayısı artmış olmasına rağmen denetim çıktılarında önemli bir farklılık yaratmamıştır.</w:t>
      </w:r>
    </w:p>
    <w:p w:rsidR="006D3DFD" w:rsidRPr="00AA15FA" w:rsidRDefault="00AA15FA" w:rsidP="008304CB">
      <w:pPr>
        <w:pStyle w:val="ListeParagraf"/>
        <w:numPr>
          <w:ilvl w:val="1"/>
          <w:numId w:val="5"/>
        </w:numPr>
        <w:autoSpaceDE w:val="0"/>
        <w:autoSpaceDN w:val="0"/>
        <w:adjustRightInd w:val="0"/>
        <w:spacing w:after="240"/>
        <w:ind w:left="0" w:firstLine="709"/>
        <w:jc w:val="both"/>
        <w:rPr>
          <w:color w:val="C0504D" w:themeColor="accent2"/>
        </w:rPr>
      </w:pPr>
      <w:proofErr w:type="spellStart"/>
      <w:r>
        <w:rPr>
          <w:color w:val="000000" w:themeColor="text1"/>
        </w:rPr>
        <w:lastRenderedPageBreak/>
        <w:t>UAB’</w:t>
      </w:r>
      <w:r w:rsidR="008304CB" w:rsidRPr="00AA15FA">
        <w:rPr>
          <w:color w:val="000000" w:themeColor="text1"/>
        </w:rPr>
        <w:t>de</w:t>
      </w:r>
      <w:proofErr w:type="spellEnd"/>
      <w:r w:rsidR="008304CB" w:rsidRPr="00AA15FA">
        <w:rPr>
          <w:color w:val="000000" w:themeColor="text1"/>
        </w:rPr>
        <w:t xml:space="preserve"> 2018 yılında 51 PGD uzmanı görev yapmıştır. 2018 yılında Gezi Tekneleri ve Kişisel Deniz Taşıtları Yönetmeliği kapsamında 5113 tekne Liman Başkanlıklarına tescile gelmiştir. Bu teknelerden 414 tanesin</w:t>
      </w:r>
      <w:r w:rsidR="00A05BA7" w:rsidRPr="00AA15FA">
        <w:rPr>
          <w:color w:val="000000" w:themeColor="text1"/>
        </w:rPr>
        <w:t>e PGD yapılmış, PGD oranı %8 olmuştur</w:t>
      </w:r>
      <w:r w:rsidR="008304CB" w:rsidRPr="00AA15FA">
        <w:rPr>
          <w:color w:val="000000" w:themeColor="text1"/>
        </w:rPr>
        <w:t xml:space="preserve">. 2019 yılında 50 PGD uzmanı görev yapmıştır. Gezi Tekneleri ve Kişisel Deniz Taşıtları Yönetmeliği kapsamında 3465 tekne Liman Başkanlıklarına tescile gelmiştir. Bu teknelerden 411 tanesine </w:t>
      </w:r>
      <w:r w:rsidR="00A05BA7" w:rsidRPr="00AA15FA">
        <w:rPr>
          <w:color w:val="000000" w:themeColor="text1"/>
        </w:rPr>
        <w:t>PGD yapılmış, PGD oranı %12 olarak gerçekleşmiştir.</w:t>
      </w:r>
      <w:r w:rsidR="008304CB" w:rsidRPr="00AA15FA">
        <w:rPr>
          <w:color w:val="000000" w:themeColor="text1"/>
        </w:rPr>
        <w:t xml:space="preserve"> 2019 yılında PGD uzman sayısında %2 azalma olmasına </w:t>
      </w:r>
      <w:r w:rsidR="00A05BA7" w:rsidRPr="00AA15FA">
        <w:rPr>
          <w:color w:val="000000" w:themeColor="text1"/>
        </w:rPr>
        <w:t>rağmen PGD denetim sayısında %4’</w:t>
      </w:r>
      <w:r w:rsidR="008304CB" w:rsidRPr="00AA15FA">
        <w:rPr>
          <w:color w:val="000000" w:themeColor="text1"/>
        </w:rPr>
        <w:t xml:space="preserve">lük artış olmuştur.  UAB bünyesindeki PGD uzmanları aynı zamanda Bakanlıkça yürütülen diğer </w:t>
      </w:r>
      <w:proofErr w:type="spellStart"/>
      <w:r w:rsidR="008304CB" w:rsidRPr="00AA15FA">
        <w:rPr>
          <w:color w:val="000000" w:themeColor="text1"/>
        </w:rPr>
        <w:t>sörvey</w:t>
      </w:r>
      <w:proofErr w:type="spellEnd"/>
      <w:r w:rsidR="008304CB" w:rsidRPr="00AA15FA">
        <w:rPr>
          <w:color w:val="000000" w:themeColor="text1"/>
        </w:rPr>
        <w:t xml:space="preserve"> ve belgelendirme işlemlerini de gerçekleştirmektedirler. Bakanlıkta görevli denetim elemanları görevlerini 2019 yılında etkin bir şekilde devam ettirmişlerdir.  </w:t>
      </w:r>
    </w:p>
    <w:p w:rsidR="00471E44" w:rsidRPr="005E0F88" w:rsidRDefault="00431C53" w:rsidP="005E0F88">
      <w:pPr>
        <w:pStyle w:val="ListeParagraf"/>
        <w:numPr>
          <w:ilvl w:val="1"/>
          <w:numId w:val="5"/>
        </w:numPr>
        <w:autoSpaceDE w:val="0"/>
        <w:autoSpaceDN w:val="0"/>
        <w:adjustRightInd w:val="0"/>
        <w:spacing w:after="240"/>
        <w:ind w:left="0" w:firstLine="709"/>
        <w:jc w:val="both"/>
        <w:rPr>
          <w:color w:val="000000" w:themeColor="text1"/>
        </w:rPr>
      </w:pPr>
      <w:r w:rsidRPr="001C7B7F">
        <w:rPr>
          <w:color w:val="000000" w:themeColor="text1"/>
        </w:rPr>
        <w:t>201</w:t>
      </w:r>
      <w:r w:rsidR="00D92D3A">
        <w:rPr>
          <w:color w:val="000000" w:themeColor="text1"/>
        </w:rPr>
        <w:t>9</w:t>
      </w:r>
      <w:r w:rsidR="00620C0A">
        <w:rPr>
          <w:color w:val="000000" w:themeColor="text1"/>
        </w:rPr>
        <w:t xml:space="preserve"> </w:t>
      </w:r>
      <w:r w:rsidRPr="001C7B7F">
        <w:rPr>
          <w:color w:val="000000" w:themeColor="text1"/>
        </w:rPr>
        <w:t>yılında</w:t>
      </w:r>
      <w:r w:rsidR="00471E44" w:rsidRPr="001C7B7F">
        <w:rPr>
          <w:color w:val="000000" w:themeColor="text1"/>
        </w:rPr>
        <w:t>, 201</w:t>
      </w:r>
      <w:r w:rsidR="00D92D3A">
        <w:rPr>
          <w:color w:val="000000" w:themeColor="text1"/>
        </w:rPr>
        <w:t>7</w:t>
      </w:r>
      <w:r w:rsidRPr="001C7B7F">
        <w:rPr>
          <w:color w:val="000000" w:themeColor="text1"/>
        </w:rPr>
        <w:t xml:space="preserve"> ve 201</w:t>
      </w:r>
      <w:r w:rsidR="00D92D3A">
        <w:rPr>
          <w:color w:val="000000" w:themeColor="text1"/>
        </w:rPr>
        <w:t>8</w:t>
      </w:r>
      <w:r w:rsidRPr="001C7B7F">
        <w:rPr>
          <w:color w:val="000000" w:themeColor="text1"/>
        </w:rPr>
        <w:t xml:space="preserve"> yılların</w:t>
      </w:r>
      <w:r w:rsidR="00D92D3A">
        <w:rPr>
          <w:color w:val="000000" w:themeColor="text1"/>
        </w:rPr>
        <w:t>ın aksine</w:t>
      </w:r>
      <w:r w:rsidR="00471E44" w:rsidRPr="001C7B7F">
        <w:rPr>
          <w:color w:val="000000" w:themeColor="text1"/>
        </w:rPr>
        <w:t xml:space="preserve">, BTK tarafından PGD faaliyetlerine ayrılan kaynak </w:t>
      </w:r>
      <w:r w:rsidR="00D92D3A">
        <w:rPr>
          <w:color w:val="000000" w:themeColor="text1"/>
        </w:rPr>
        <w:t>%516 oranında ciddi bir artış göstermiştir.</w:t>
      </w:r>
      <w:r w:rsidRPr="001C7B7F">
        <w:rPr>
          <w:color w:val="000000" w:themeColor="text1"/>
        </w:rPr>
        <w:t xml:space="preserve"> 201</w:t>
      </w:r>
      <w:r w:rsidR="00D92D3A">
        <w:rPr>
          <w:color w:val="000000" w:themeColor="text1"/>
        </w:rPr>
        <w:t>9</w:t>
      </w:r>
      <w:r w:rsidRPr="001C7B7F">
        <w:rPr>
          <w:color w:val="000000" w:themeColor="text1"/>
        </w:rPr>
        <w:t xml:space="preserve"> yılında bir önceki yıla göre</w:t>
      </w:r>
      <w:r w:rsidR="00D92D3A">
        <w:rPr>
          <w:color w:val="000000" w:themeColor="text1"/>
        </w:rPr>
        <w:t xml:space="preserve"> denetlenen ürün parti sayısı</w:t>
      </w:r>
      <w:r w:rsidRPr="001C7B7F">
        <w:rPr>
          <w:color w:val="000000" w:themeColor="text1"/>
        </w:rPr>
        <w:t xml:space="preserve"> %</w:t>
      </w:r>
      <w:r w:rsidR="00D92D3A">
        <w:rPr>
          <w:color w:val="000000" w:themeColor="text1"/>
        </w:rPr>
        <w:t>7 oranında artmış, fiili denetim yapan personel sayısı aynı kalmış ve</w:t>
      </w:r>
      <w:r w:rsidR="005E0F88">
        <w:rPr>
          <w:color w:val="000000" w:themeColor="text1"/>
        </w:rPr>
        <w:t xml:space="preserve"> uygunsuzluk oranı bir önceki yılda %29 iken 2019’da %22 olarak gerçekleşmiş, tespit edilen güvensiz ürün parti sayısı 2018’de 0 iken 2019’da 11 olarak gerçekleşmiştir.</w:t>
      </w:r>
      <w:r w:rsidR="0053638A">
        <w:rPr>
          <w:color w:val="000000" w:themeColor="text1"/>
        </w:rPr>
        <w:t xml:space="preserve"> </w:t>
      </w:r>
      <w:r w:rsidR="005E0F88">
        <w:rPr>
          <w:color w:val="000000" w:themeColor="text1"/>
        </w:rPr>
        <w:t>Bu kapsamda</w:t>
      </w:r>
      <w:r w:rsidR="00620C0A">
        <w:rPr>
          <w:color w:val="000000" w:themeColor="text1"/>
        </w:rPr>
        <w:t xml:space="preserve"> </w:t>
      </w:r>
      <w:r w:rsidR="005E0F88">
        <w:rPr>
          <w:color w:val="000000" w:themeColor="text1"/>
        </w:rPr>
        <w:t xml:space="preserve">aynı </w:t>
      </w:r>
      <w:r w:rsidRPr="005E0F88">
        <w:rPr>
          <w:color w:val="000000" w:themeColor="text1"/>
        </w:rPr>
        <w:t xml:space="preserve">fiili denetim elemanıyla yapılan PGD faaliyetlerinin </w:t>
      </w:r>
      <w:r w:rsidR="005E0F88">
        <w:rPr>
          <w:color w:val="000000" w:themeColor="text1"/>
        </w:rPr>
        <w:t>güvensiz ürün verilerinde</w:t>
      </w:r>
      <w:r w:rsidRPr="005E0F88">
        <w:rPr>
          <w:color w:val="000000" w:themeColor="text1"/>
        </w:rPr>
        <w:t xml:space="preserve"> artış gözlemlenmektedir. Ortaya çıkan bu tablo </w:t>
      </w:r>
      <w:r w:rsidR="00471E44" w:rsidRPr="005E0F88">
        <w:rPr>
          <w:color w:val="000000" w:themeColor="text1"/>
        </w:rPr>
        <w:t xml:space="preserve">denetimlerin etkinliğinin </w:t>
      </w:r>
      <w:r w:rsidR="005E0F88">
        <w:rPr>
          <w:color w:val="000000" w:themeColor="text1"/>
        </w:rPr>
        <w:t>arttığı</w:t>
      </w:r>
      <w:r w:rsidRPr="005E0F88">
        <w:rPr>
          <w:color w:val="000000" w:themeColor="text1"/>
        </w:rPr>
        <w:t xml:space="preserve">nı </w:t>
      </w:r>
      <w:r w:rsidR="00471E44" w:rsidRPr="005E0F88">
        <w:rPr>
          <w:color w:val="000000" w:themeColor="text1"/>
        </w:rPr>
        <w:t xml:space="preserve">göstermektedir. </w:t>
      </w:r>
    </w:p>
    <w:p w:rsidR="000B571D" w:rsidRPr="00CB7B8A" w:rsidRDefault="000B571D" w:rsidP="00BE41A3">
      <w:pPr>
        <w:autoSpaceDE w:val="0"/>
        <w:autoSpaceDN w:val="0"/>
        <w:adjustRightInd w:val="0"/>
        <w:spacing w:after="240"/>
        <w:ind w:firstLine="709"/>
        <w:jc w:val="both"/>
        <w:rPr>
          <w:strike/>
        </w:rPr>
      </w:pPr>
    </w:p>
    <w:p w:rsidR="0096169B" w:rsidRPr="000554FC" w:rsidRDefault="0096169B" w:rsidP="009525F6">
      <w:pPr>
        <w:pStyle w:val="Balk1"/>
        <w:numPr>
          <w:ilvl w:val="0"/>
          <w:numId w:val="15"/>
        </w:numPr>
        <w:ind w:left="708" w:firstLine="0"/>
        <w:rPr>
          <w:color w:val="000000" w:themeColor="text1"/>
        </w:rPr>
      </w:pPr>
      <w:bookmarkStart w:id="6" w:name="_Toc4892860"/>
      <w:r w:rsidRPr="000554FC">
        <w:rPr>
          <w:color w:val="000000" w:themeColor="text1"/>
        </w:rPr>
        <w:t>DENETİMLERİN YÖNLENDİRİLMESİ</w:t>
      </w:r>
      <w:bookmarkEnd w:id="6"/>
    </w:p>
    <w:p w:rsidR="0096169B" w:rsidRDefault="0096169B" w:rsidP="009525F6">
      <w:pPr>
        <w:pStyle w:val="Balk2"/>
        <w:numPr>
          <w:ilvl w:val="0"/>
          <w:numId w:val="0"/>
        </w:numPr>
        <w:ind w:left="708"/>
      </w:pPr>
    </w:p>
    <w:p w:rsidR="0096169B" w:rsidRDefault="0096169B" w:rsidP="009525F6">
      <w:pPr>
        <w:pStyle w:val="Balk2"/>
        <w:numPr>
          <w:ilvl w:val="0"/>
          <w:numId w:val="17"/>
        </w:numPr>
        <w:ind w:left="708" w:firstLine="0"/>
      </w:pPr>
      <w:bookmarkStart w:id="7" w:name="_Toc4892861"/>
      <w:r w:rsidRPr="000554FC">
        <w:t>ŞİKÂYET</w:t>
      </w:r>
      <w:r w:rsidR="00616123">
        <w:t>/İHBAR</w:t>
      </w:r>
      <w:r w:rsidRPr="000554FC">
        <w:t xml:space="preserve"> ÜZERİNE DENETİMLER</w:t>
      </w:r>
      <w:bookmarkEnd w:id="7"/>
    </w:p>
    <w:p w:rsidR="007D61E6" w:rsidRDefault="007D61E6" w:rsidP="00BE41A3">
      <w:pPr>
        <w:ind w:firstLine="709"/>
      </w:pPr>
    </w:p>
    <w:p w:rsidR="007D61E6" w:rsidRDefault="007D61E6" w:rsidP="00BE41A3">
      <w:pPr>
        <w:pStyle w:val="GvdeMetni"/>
        <w:ind w:firstLine="709"/>
        <w:rPr>
          <w:bCs/>
          <w:color w:val="000000" w:themeColor="text1"/>
        </w:rPr>
      </w:pPr>
      <w:r>
        <w:rPr>
          <w:bCs/>
          <w:color w:val="000000" w:themeColor="text1"/>
        </w:rPr>
        <w:t xml:space="preserve">Denetimlerin </w:t>
      </w:r>
      <w:r w:rsidRPr="009F02DA">
        <w:rPr>
          <w:bCs/>
          <w:color w:val="000000" w:themeColor="text1"/>
        </w:rPr>
        <w:t xml:space="preserve">risk odaklı yürütülmesi ve güvensiz ürünlere hızlı bir şekilde ulaşılabilmesi bakımından </w:t>
      </w:r>
      <w:r>
        <w:rPr>
          <w:bCs/>
          <w:color w:val="000000" w:themeColor="text1"/>
        </w:rPr>
        <w:t xml:space="preserve">şikâyet/ihbarlar son derece </w:t>
      </w:r>
      <w:r w:rsidRPr="009F02DA">
        <w:rPr>
          <w:bCs/>
          <w:color w:val="000000" w:themeColor="text1"/>
        </w:rPr>
        <w:t xml:space="preserve">önemli veri kaynaklarıdır. </w:t>
      </w:r>
      <w:r>
        <w:rPr>
          <w:bCs/>
          <w:color w:val="000000" w:themeColor="text1"/>
        </w:rPr>
        <w:t xml:space="preserve">Bununla </w:t>
      </w:r>
      <w:proofErr w:type="spellStart"/>
      <w:proofErr w:type="gramStart"/>
      <w:r>
        <w:rPr>
          <w:bCs/>
          <w:color w:val="000000" w:themeColor="text1"/>
        </w:rPr>
        <w:t>birlikte</w:t>
      </w:r>
      <w:r w:rsidR="00DC3594">
        <w:rPr>
          <w:bCs/>
          <w:color w:val="000000" w:themeColor="text1"/>
        </w:rPr>
        <w:t>,</w:t>
      </w:r>
      <w:r>
        <w:rPr>
          <w:bCs/>
          <w:color w:val="000000" w:themeColor="text1"/>
        </w:rPr>
        <w:t>şi</w:t>
      </w:r>
      <w:r w:rsidRPr="009F02DA">
        <w:rPr>
          <w:bCs/>
          <w:color w:val="000000" w:themeColor="text1"/>
        </w:rPr>
        <w:t>kâyetler</w:t>
      </w:r>
      <w:r>
        <w:rPr>
          <w:bCs/>
          <w:color w:val="000000" w:themeColor="text1"/>
        </w:rPr>
        <w:t>in</w:t>
      </w:r>
      <w:proofErr w:type="spellEnd"/>
      <w:proofErr w:type="gramEnd"/>
      <w:r w:rsidRPr="009F02DA">
        <w:rPr>
          <w:bCs/>
          <w:color w:val="000000" w:themeColor="text1"/>
        </w:rPr>
        <w:t xml:space="preserve"> PGD kuruluşuna hızla ulaştırılabilmesi</w:t>
      </w:r>
      <w:r>
        <w:rPr>
          <w:bCs/>
          <w:color w:val="000000" w:themeColor="text1"/>
        </w:rPr>
        <w:t xml:space="preserve"> ve bu şikayetler üzerine yetkili kuruluşların hızlı bir biçimde harekete geçmelerinin sağlanması da </w:t>
      </w:r>
      <w:r w:rsidRPr="009F02DA">
        <w:rPr>
          <w:bCs/>
          <w:color w:val="000000" w:themeColor="text1"/>
        </w:rPr>
        <w:t xml:space="preserve">önem verilmesi gereken bir alan olarak değerlendirilmektedir. </w:t>
      </w:r>
      <w:r>
        <w:rPr>
          <w:bCs/>
          <w:color w:val="000000" w:themeColor="text1"/>
        </w:rPr>
        <w:t>Son yıllarda ülkemizdeki PGD faaliyetlerinin g</w:t>
      </w:r>
      <w:r w:rsidR="0076542F">
        <w:rPr>
          <w:bCs/>
          <w:color w:val="000000" w:themeColor="text1"/>
        </w:rPr>
        <w:t xml:space="preserve">örünürlüğünün artması ile kuruluşlara ulaşan </w:t>
      </w:r>
      <w:proofErr w:type="gramStart"/>
      <w:r w:rsidR="0076542F">
        <w:rPr>
          <w:bCs/>
          <w:color w:val="000000" w:themeColor="text1"/>
        </w:rPr>
        <w:t>şikayet</w:t>
      </w:r>
      <w:proofErr w:type="gramEnd"/>
      <w:r w:rsidR="0076542F">
        <w:rPr>
          <w:bCs/>
          <w:color w:val="000000" w:themeColor="text1"/>
        </w:rPr>
        <w:t xml:space="preserve"> sayılarının da artmış olması beklenmektedir. Bununla birlikte</w:t>
      </w:r>
      <w:r w:rsidR="00DC3594">
        <w:rPr>
          <w:bCs/>
          <w:color w:val="000000" w:themeColor="text1"/>
        </w:rPr>
        <w:t>,</w:t>
      </w:r>
      <w:r w:rsidR="0076542F">
        <w:rPr>
          <w:bCs/>
          <w:color w:val="000000" w:themeColor="text1"/>
        </w:rPr>
        <w:t xml:space="preserve"> 201</w:t>
      </w:r>
      <w:r w:rsidR="001828C8">
        <w:rPr>
          <w:bCs/>
          <w:color w:val="000000" w:themeColor="text1"/>
        </w:rPr>
        <w:t>9</w:t>
      </w:r>
      <w:r w:rsidR="0076542F">
        <w:rPr>
          <w:bCs/>
          <w:color w:val="000000" w:themeColor="text1"/>
        </w:rPr>
        <w:t xml:space="preserve"> senesinde ürün grupları genelinde </w:t>
      </w:r>
      <w:proofErr w:type="gramStart"/>
      <w:r w:rsidR="0076542F">
        <w:rPr>
          <w:bCs/>
          <w:color w:val="000000" w:themeColor="text1"/>
        </w:rPr>
        <w:t>şikayetlerin</w:t>
      </w:r>
      <w:proofErr w:type="gramEnd"/>
      <w:r w:rsidR="0076542F">
        <w:rPr>
          <w:bCs/>
          <w:color w:val="000000" w:themeColor="text1"/>
        </w:rPr>
        <w:t xml:space="preserve"> denetimlerde y</w:t>
      </w:r>
      <w:r w:rsidR="009D6DDD">
        <w:rPr>
          <w:bCs/>
          <w:color w:val="000000" w:themeColor="text1"/>
        </w:rPr>
        <w:t>ol gösterici olarak kullanımının yetersiz düzeyde olduğu gö</w:t>
      </w:r>
      <w:r w:rsidR="0076542F">
        <w:rPr>
          <w:bCs/>
          <w:color w:val="000000" w:themeColor="text1"/>
        </w:rPr>
        <w:t xml:space="preserve">rülmektedir. </w:t>
      </w:r>
      <w:r w:rsidRPr="009F02DA">
        <w:rPr>
          <w:bCs/>
          <w:color w:val="000000" w:themeColor="text1"/>
        </w:rPr>
        <w:t>Ülkemizde paydaşların (tüketiciler, sektör vb.) PGD faaliyetlerine katkıları</w:t>
      </w:r>
      <w:r w:rsidR="0076542F">
        <w:rPr>
          <w:bCs/>
          <w:color w:val="000000" w:themeColor="text1"/>
        </w:rPr>
        <w:t xml:space="preserve">nın; </w:t>
      </w:r>
      <w:r w:rsidRPr="009F02DA">
        <w:rPr>
          <w:bCs/>
          <w:color w:val="000000" w:themeColor="text1"/>
        </w:rPr>
        <w:t xml:space="preserve">özellikle </w:t>
      </w:r>
      <w:r w:rsidR="0076542F">
        <w:rPr>
          <w:bCs/>
          <w:color w:val="000000" w:themeColor="text1"/>
        </w:rPr>
        <w:t>ku</w:t>
      </w:r>
      <w:r w:rsidR="00D9236F">
        <w:rPr>
          <w:bCs/>
          <w:color w:val="000000" w:themeColor="text1"/>
        </w:rPr>
        <w:t>l</w:t>
      </w:r>
      <w:r w:rsidR="0076542F">
        <w:rPr>
          <w:bCs/>
          <w:color w:val="000000" w:themeColor="text1"/>
        </w:rPr>
        <w:t xml:space="preserve">lanıcı dostu ve sonuç odaklı </w:t>
      </w:r>
      <w:r w:rsidRPr="009F02DA">
        <w:rPr>
          <w:bCs/>
          <w:color w:val="000000" w:themeColor="text1"/>
        </w:rPr>
        <w:t xml:space="preserve">şikâyet mekanizmalarının </w:t>
      </w:r>
      <w:r w:rsidR="0076542F">
        <w:rPr>
          <w:bCs/>
          <w:color w:val="000000" w:themeColor="text1"/>
        </w:rPr>
        <w:t xml:space="preserve">kurulması ve bunların </w:t>
      </w:r>
      <w:r w:rsidRPr="009F02DA">
        <w:rPr>
          <w:bCs/>
          <w:color w:val="000000" w:themeColor="text1"/>
        </w:rPr>
        <w:t>aktif ve doğru kullanımı</w:t>
      </w:r>
      <w:r w:rsidR="0076542F">
        <w:rPr>
          <w:bCs/>
          <w:color w:val="000000" w:themeColor="text1"/>
        </w:rPr>
        <w:t xml:space="preserve">nın sağlanması yoluyla </w:t>
      </w:r>
      <w:r w:rsidR="0076542F" w:rsidRPr="003824A6">
        <w:rPr>
          <w:bCs/>
          <w:color w:val="000000" w:themeColor="text1"/>
        </w:rPr>
        <w:t>arttırılması</w:t>
      </w:r>
      <w:r w:rsidR="00DC3594" w:rsidRPr="003824A6">
        <w:rPr>
          <w:bCs/>
          <w:color w:val="000000" w:themeColor="text1"/>
        </w:rPr>
        <w:t>nın</w:t>
      </w:r>
      <w:r w:rsidRPr="003824A6">
        <w:rPr>
          <w:bCs/>
          <w:color w:val="000000" w:themeColor="text1"/>
        </w:rPr>
        <w:t xml:space="preserve"> gerektiği</w:t>
      </w:r>
      <w:r w:rsidRPr="009F02DA">
        <w:rPr>
          <w:bCs/>
          <w:color w:val="000000" w:themeColor="text1"/>
        </w:rPr>
        <w:t xml:space="preserve"> değerlendirilmektedir.</w:t>
      </w:r>
    </w:p>
    <w:p w:rsidR="007D61E6" w:rsidRPr="000554FC" w:rsidRDefault="007D61E6" w:rsidP="00BE41A3">
      <w:pPr>
        <w:pStyle w:val="GvdeMetni"/>
        <w:ind w:firstLine="709"/>
        <w:rPr>
          <w:bCs/>
          <w:color w:val="000000" w:themeColor="text1"/>
        </w:rPr>
      </w:pPr>
    </w:p>
    <w:p w:rsidR="007D61E6" w:rsidRPr="0076542F" w:rsidRDefault="007D61E6" w:rsidP="00BE41A3">
      <w:pPr>
        <w:pStyle w:val="GvdeMetni"/>
        <w:ind w:firstLine="709"/>
        <w:rPr>
          <w:bCs/>
          <w:color w:val="000000" w:themeColor="text1"/>
        </w:rPr>
      </w:pPr>
      <w:r w:rsidRPr="0076542F">
        <w:rPr>
          <w:bCs/>
          <w:color w:val="000000" w:themeColor="text1"/>
        </w:rPr>
        <w:t>PGD kuruluşlarına ulaşan şikâyetlerle ilgili detaylı bilgiler Grafik-</w:t>
      </w:r>
      <w:r w:rsidR="00064015">
        <w:rPr>
          <w:bCs/>
          <w:color w:val="000000" w:themeColor="text1"/>
        </w:rPr>
        <w:t>3</w:t>
      </w:r>
      <w:r w:rsidRPr="0076542F">
        <w:rPr>
          <w:bCs/>
          <w:color w:val="000000" w:themeColor="text1"/>
        </w:rPr>
        <w:t xml:space="preserve"> ve </w:t>
      </w:r>
      <w:r w:rsidR="00064015">
        <w:rPr>
          <w:bCs/>
          <w:color w:val="000000" w:themeColor="text1"/>
        </w:rPr>
        <w:t>4</w:t>
      </w:r>
      <w:r w:rsidRPr="0076542F">
        <w:rPr>
          <w:bCs/>
          <w:color w:val="000000" w:themeColor="text1"/>
        </w:rPr>
        <w:t>’</w:t>
      </w:r>
      <w:r w:rsidR="00064015">
        <w:rPr>
          <w:bCs/>
          <w:color w:val="000000" w:themeColor="text1"/>
        </w:rPr>
        <w:t>te</w:t>
      </w:r>
      <w:r w:rsidRPr="0076542F">
        <w:rPr>
          <w:bCs/>
          <w:color w:val="000000" w:themeColor="text1"/>
        </w:rPr>
        <w:t xml:space="preserve"> yer almaktadır. </w:t>
      </w:r>
      <w:r w:rsidR="00576158">
        <w:rPr>
          <w:bCs/>
          <w:color w:val="000000" w:themeColor="text1"/>
        </w:rPr>
        <w:t>TO</w:t>
      </w:r>
      <w:r w:rsidR="0076542F" w:rsidRPr="0076542F">
        <w:rPr>
          <w:bCs/>
          <w:color w:val="000000" w:themeColor="text1"/>
        </w:rPr>
        <w:t xml:space="preserve">B verilerinin bu alanda diğer kuruluşların verilerinden büyük farklılıklar göstermesi nedeniyle, mevcut durumunun sağlıklı analiz edilebilmesi adına </w:t>
      </w:r>
      <w:r w:rsidR="00576158">
        <w:rPr>
          <w:bCs/>
          <w:color w:val="000000" w:themeColor="text1"/>
        </w:rPr>
        <w:t>TO</w:t>
      </w:r>
      <w:r w:rsidR="0076542F" w:rsidRPr="0076542F">
        <w:rPr>
          <w:bCs/>
          <w:color w:val="000000" w:themeColor="text1"/>
        </w:rPr>
        <w:t>B verileri ile diğer 7 kuruluşun verileri grafiklerde ayrı ayrı ele alınmıştır.</w:t>
      </w:r>
    </w:p>
    <w:p w:rsidR="007D61E6" w:rsidRPr="007D61E6" w:rsidRDefault="007D61E6" w:rsidP="00BE41A3">
      <w:pPr>
        <w:ind w:firstLine="709"/>
      </w:pPr>
    </w:p>
    <w:p w:rsidR="0096169B" w:rsidRDefault="0096169B" w:rsidP="00BE41A3">
      <w:pPr>
        <w:pStyle w:val="GvdeMetni"/>
        <w:ind w:firstLine="709"/>
        <w:rPr>
          <w:bCs/>
          <w:color w:val="000000" w:themeColor="text1"/>
        </w:rPr>
      </w:pPr>
    </w:p>
    <w:p w:rsidR="0096169B" w:rsidRDefault="0013690A" w:rsidP="00BE41A3">
      <w:pPr>
        <w:pStyle w:val="GvdeMetni"/>
        <w:rPr>
          <w:bCs/>
          <w:color w:val="000000" w:themeColor="text1"/>
        </w:rPr>
      </w:pPr>
      <w:r>
        <w:rPr>
          <w:noProof/>
          <w:lang w:eastAsia="tr-TR"/>
        </w:rPr>
        <w:lastRenderedPageBreak/>
        <w:drawing>
          <wp:inline distT="0" distB="0" distL="0" distR="0">
            <wp:extent cx="6029960" cy="3173095"/>
            <wp:effectExtent l="0" t="0" r="8890" b="8255"/>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169B" w:rsidRDefault="0096169B" w:rsidP="00BE41A3">
      <w:pPr>
        <w:pStyle w:val="GvdeMetni"/>
        <w:ind w:firstLine="709"/>
        <w:rPr>
          <w:bCs/>
          <w:color w:val="000000" w:themeColor="text1"/>
        </w:rPr>
      </w:pPr>
    </w:p>
    <w:p w:rsidR="0096169B" w:rsidRDefault="0096169B" w:rsidP="00BE41A3">
      <w:pPr>
        <w:pStyle w:val="GvdeMetni"/>
        <w:ind w:firstLine="709"/>
        <w:rPr>
          <w:bCs/>
          <w:color w:val="000000" w:themeColor="text1"/>
        </w:rPr>
      </w:pPr>
    </w:p>
    <w:p w:rsidR="0096169B" w:rsidRDefault="0013690A" w:rsidP="00BE41A3">
      <w:pPr>
        <w:pStyle w:val="GvdeMetni"/>
        <w:rPr>
          <w:bCs/>
          <w:color w:val="000000" w:themeColor="text1"/>
        </w:rPr>
      </w:pPr>
      <w:r>
        <w:rPr>
          <w:noProof/>
          <w:lang w:eastAsia="tr-TR"/>
        </w:rPr>
        <w:drawing>
          <wp:inline distT="0" distB="0" distL="0" distR="0">
            <wp:extent cx="6029960" cy="3005455"/>
            <wp:effectExtent l="0" t="0" r="8890" b="4445"/>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169B" w:rsidRDefault="0096169B" w:rsidP="00BE41A3">
      <w:pPr>
        <w:pStyle w:val="GvdeMetni"/>
        <w:ind w:firstLine="709"/>
        <w:rPr>
          <w:bCs/>
          <w:color w:val="000000" w:themeColor="text1"/>
        </w:rPr>
      </w:pPr>
    </w:p>
    <w:p w:rsidR="0096169B" w:rsidRPr="000554FC" w:rsidRDefault="0096169B" w:rsidP="00BE41A3">
      <w:pPr>
        <w:pStyle w:val="GvdeMetni"/>
        <w:ind w:firstLine="709"/>
        <w:rPr>
          <w:bCs/>
          <w:color w:val="000000" w:themeColor="text1"/>
        </w:rPr>
      </w:pPr>
    </w:p>
    <w:p w:rsidR="009C0E76" w:rsidRPr="008B2319" w:rsidRDefault="00576158" w:rsidP="00BE41A3">
      <w:pPr>
        <w:autoSpaceDE w:val="0"/>
        <w:autoSpaceDN w:val="0"/>
        <w:adjustRightInd w:val="0"/>
        <w:spacing w:after="240"/>
        <w:ind w:firstLine="709"/>
        <w:jc w:val="both"/>
        <w:rPr>
          <w:color w:val="000000" w:themeColor="text1"/>
        </w:rPr>
      </w:pPr>
      <w:r w:rsidRPr="008B2319">
        <w:rPr>
          <w:color w:val="000000" w:themeColor="text1"/>
        </w:rPr>
        <w:t>TO</w:t>
      </w:r>
      <w:r w:rsidR="0096169B" w:rsidRPr="008B2319">
        <w:rPr>
          <w:bCs/>
          <w:color w:val="000000" w:themeColor="text1"/>
        </w:rPr>
        <w:t xml:space="preserve">B dışındaki kuruluşların denetimlerine dair verileri kapsayan Grafik </w:t>
      </w:r>
      <w:r w:rsidR="00064015">
        <w:rPr>
          <w:bCs/>
          <w:color w:val="000000" w:themeColor="text1"/>
        </w:rPr>
        <w:t>3</w:t>
      </w:r>
      <w:r w:rsidR="0096169B" w:rsidRPr="008B2319">
        <w:rPr>
          <w:bCs/>
          <w:color w:val="000000" w:themeColor="text1"/>
        </w:rPr>
        <w:t>’ten de görüleceği üzere</w:t>
      </w:r>
      <w:r w:rsidR="00DC3594" w:rsidRPr="008B2319">
        <w:rPr>
          <w:bCs/>
          <w:color w:val="000000" w:themeColor="text1"/>
        </w:rPr>
        <w:t>;</w:t>
      </w:r>
      <w:r w:rsidR="0096169B" w:rsidRPr="008B2319">
        <w:rPr>
          <w:bCs/>
          <w:color w:val="000000" w:themeColor="text1"/>
        </w:rPr>
        <w:t xml:space="preserve"> şikâyet üzerine denetlenen ürünlerin toplam denetimdeki payı </w:t>
      </w:r>
      <w:r w:rsidR="005270CB" w:rsidRPr="008B2319">
        <w:rPr>
          <w:bCs/>
          <w:color w:val="000000" w:themeColor="text1"/>
        </w:rPr>
        <w:t>%4</w:t>
      </w:r>
      <w:r w:rsidR="00861840" w:rsidRPr="008B2319">
        <w:rPr>
          <w:bCs/>
          <w:color w:val="000000" w:themeColor="text1"/>
        </w:rPr>
        <w:t xml:space="preserve"> olarak gerçekleşmiş, 201</w:t>
      </w:r>
      <w:r w:rsidR="009D6DDD">
        <w:rPr>
          <w:bCs/>
          <w:color w:val="000000" w:themeColor="text1"/>
        </w:rPr>
        <w:t>8</w:t>
      </w:r>
      <w:r w:rsidR="00861840" w:rsidRPr="008B2319">
        <w:rPr>
          <w:bCs/>
          <w:color w:val="000000" w:themeColor="text1"/>
        </w:rPr>
        <w:t xml:space="preserve"> yılında </w:t>
      </w:r>
      <w:r w:rsidR="009D6DDD">
        <w:rPr>
          <w:bCs/>
          <w:color w:val="000000" w:themeColor="text1"/>
        </w:rPr>
        <w:t xml:space="preserve">da </w:t>
      </w:r>
      <w:r w:rsidR="00861840" w:rsidRPr="008B2319">
        <w:rPr>
          <w:bCs/>
          <w:color w:val="000000" w:themeColor="text1"/>
        </w:rPr>
        <w:t>bu oranın %</w:t>
      </w:r>
      <w:r w:rsidR="009D6DDD">
        <w:rPr>
          <w:bCs/>
          <w:color w:val="000000" w:themeColor="text1"/>
        </w:rPr>
        <w:t>4</w:t>
      </w:r>
      <w:r w:rsidR="00861840" w:rsidRPr="008B2319">
        <w:rPr>
          <w:bCs/>
          <w:color w:val="000000" w:themeColor="text1"/>
        </w:rPr>
        <w:t xml:space="preserve"> olduğu değerlendirildiğinde </w:t>
      </w:r>
      <w:proofErr w:type="gramStart"/>
      <w:r w:rsidR="00861840" w:rsidRPr="008B2319">
        <w:rPr>
          <w:bCs/>
          <w:color w:val="000000" w:themeColor="text1"/>
        </w:rPr>
        <w:t>şikayet</w:t>
      </w:r>
      <w:proofErr w:type="gramEnd"/>
      <w:r w:rsidR="00861840" w:rsidRPr="008B2319">
        <w:rPr>
          <w:bCs/>
          <w:color w:val="000000" w:themeColor="text1"/>
        </w:rPr>
        <w:t xml:space="preserve"> üzerine denetimlerde </w:t>
      </w:r>
      <w:r w:rsidR="009D6DDD">
        <w:rPr>
          <w:bCs/>
          <w:color w:val="000000" w:themeColor="text1"/>
        </w:rPr>
        <w:t>bu oranın aynı kaldığı görülmektedir.</w:t>
      </w:r>
    </w:p>
    <w:p w:rsidR="0096169B" w:rsidRPr="008B2319" w:rsidRDefault="00E44477" w:rsidP="00BE41A3">
      <w:pPr>
        <w:autoSpaceDE w:val="0"/>
        <w:autoSpaceDN w:val="0"/>
        <w:adjustRightInd w:val="0"/>
        <w:spacing w:after="240"/>
        <w:ind w:firstLine="709"/>
        <w:jc w:val="both"/>
        <w:rPr>
          <w:bCs/>
          <w:color w:val="000000" w:themeColor="text1"/>
        </w:rPr>
      </w:pPr>
      <w:r w:rsidRPr="008B2319">
        <w:rPr>
          <w:bCs/>
          <w:color w:val="000000" w:themeColor="text1"/>
        </w:rPr>
        <w:t xml:space="preserve">Önümüzdeki yıllarda </w:t>
      </w:r>
      <w:r w:rsidR="0076542F" w:rsidRPr="008B2319">
        <w:rPr>
          <w:bCs/>
          <w:color w:val="000000" w:themeColor="text1"/>
        </w:rPr>
        <w:t xml:space="preserve">alınan </w:t>
      </w:r>
      <w:proofErr w:type="gramStart"/>
      <w:r w:rsidR="0076542F" w:rsidRPr="008B2319">
        <w:rPr>
          <w:bCs/>
          <w:color w:val="000000" w:themeColor="text1"/>
        </w:rPr>
        <w:t>şikayetlerin</w:t>
      </w:r>
      <w:proofErr w:type="gramEnd"/>
      <w:r w:rsidR="0076542F" w:rsidRPr="008B2319">
        <w:rPr>
          <w:bCs/>
          <w:color w:val="000000" w:themeColor="text1"/>
        </w:rPr>
        <w:t xml:space="preserve"> ve bu şikayetler doğrultusunda </w:t>
      </w:r>
      <w:r w:rsidR="009C0E76" w:rsidRPr="008B2319">
        <w:rPr>
          <w:bCs/>
          <w:color w:val="000000" w:themeColor="text1"/>
        </w:rPr>
        <w:t xml:space="preserve">gerçekleştirilen denetimlerin artması, </w:t>
      </w:r>
      <w:proofErr w:type="spellStart"/>
      <w:r w:rsidR="00EF077F" w:rsidRPr="008B2319">
        <w:rPr>
          <w:bCs/>
          <w:color w:val="000000" w:themeColor="text1"/>
        </w:rPr>
        <w:t>şikâyetlerin</w:t>
      </w:r>
      <w:r w:rsidRPr="008B2319">
        <w:rPr>
          <w:bCs/>
          <w:color w:val="000000" w:themeColor="text1"/>
        </w:rPr>
        <w:t>denetimleri</w:t>
      </w:r>
      <w:proofErr w:type="spellEnd"/>
      <w:r w:rsidRPr="008B2319">
        <w:rPr>
          <w:bCs/>
          <w:color w:val="000000" w:themeColor="text1"/>
        </w:rPr>
        <w:t xml:space="preserve"> ciddi anlamda yönlendirebilecek seviyeye gelmesi</w:t>
      </w:r>
      <w:r w:rsidR="009C0E76" w:rsidRPr="008B2319">
        <w:rPr>
          <w:bCs/>
          <w:color w:val="000000" w:themeColor="text1"/>
        </w:rPr>
        <w:t xml:space="preserve">, aynı zamanda </w:t>
      </w:r>
      <w:r w:rsidRPr="008B2319">
        <w:rPr>
          <w:bCs/>
          <w:color w:val="000000" w:themeColor="text1"/>
        </w:rPr>
        <w:t xml:space="preserve">şikâyet mekanizmalarının tüketiciler ve iktisadi işletmeciler tarafından aktif kullanımının sağlanması temenni edilmektedir. </w:t>
      </w:r>
    </w:p>
    <w:p w:rsidR="003838C4" w:rsidRPr="008B2319" w:rsidRDefault="00576158" w:rsidP="003838C4">
      <w:pPr>
        <w:autoSpaceDE w:val="0"/>
        <w:autoSpaceDN w:val="0"/>
        <w:adjustRightInd w:val="0"/>
        <w:spacing w:after="240"/>
        <w:ind w:firstLine="709"/>
        <w:jc w:val="both"/>
        <w:rPr>
          <w:bCs/>
          <w:color w:val="000000" w:themeColor="text1"/>
        </w:rPr>
      </w:pPr>
      <w:r w:rsidRPr="008B2319">
        <w:rPr>
          <w:bCs/>
          <w:color w:val="000000" w:themeColor="text1"/>
        </w:rPr>
        <w:t>TO</w:t>
      </w:r>
      <w:r w:rsidR="000C1EBE" w:rsidRPr="008B2319">
        <w:rPr>
          <w:bCs/>
          <w:color w:val="000000" w:themeColor="text1"/>
        </w:rPr>
        <w:t xml:space="preserve">B verilerinin yer aldığı Grafik </w:t>
      </w:r>
      <w:r w:rsidR="00064015">
        <w:rPr>
          <w:bCs/>
          <w:color w:val="000000" w:themeColor="text1"/>
        </w:rPr>
        <w:t>4</w:t>
      </w:r>
      <w:r w:rsidR="000C1EBE" w:rsidRPr="008B2319">
        <w:rPr>
          <w:bCs/>
          <w:color w:val="000000" w:themeColor="text1"/>
        </w:rPr>
        <w:t>’</w:t>
      </w:r>
      <w:r w:rsidR="00064015">
        <w:rPr>
          <w:bCs/>
          <w:color w:val="000000" w:themeColor="text1"/>
        </w:rPr>
        <w:t>ten</w:t>
      </w:r>
      <w:r w:rsidR="000C1EBE" w:rsidRPr="008B2319">
        <w:rPr>
          <w:bCs/>
          <w:color w:val="000000" w:themeColor="text1"/>
        </w:rPr>
        <w:t xml:space="preserve"> görüleceği üzere, </w:t>
      </w:r>
      <w:r w:rsidR="002068C5" w:rsidRPr="008B2319">
        <w:rPr>
          <w:bCs/>
          <w:color w:val="000000" w:themeColor="text1"/>
        </w:rPr>
        <w:t>2016 yılında</w:t>
      </w:r>
      <w:r w:rsidR="00A3638D" w:rsidRPr="008B2319">
        <w:rPr>
          <w:bCs/>
          <w:color w:val="000000" w:themeColor="text1"/>
        </w:rPr>
        <w:t xml:space="preserve"> şikâyet üzerine denetlenen ürünlerin toplam denetimdeki payı %57 iken, </w:t>
      </w:r>
      <w:r w:rsidR="00814A7E" w:rsidRPr="008B2319">
        <w:rPr>
          <w:bCs/>
          <w:color w:val="000000" w:themeColor="text1"/>
        </w:rPr>
        <w:t xml:space="preserve">2017 </w:t>
      </w:r>
      <w:r w:rsidR="008A6814" w:rsidRPr="008B2319">
        <w:rPr>
          <w:bCs/>
          <w:color w:val="000000" w:themeColor="text1"/>
        </w:rPr>
        <w:t>yılında %8 olmuş,</w:t>
      </w:r>
      <w:r w:rsidR="0033519F" w:rsidRPr="008B2319">
        <w:rPr>
          <w:bCs/>
          <w:color w:val="000000" w:themeColor="text1"/>
        </w:rPr>
        <w:t xml:space="preserve"> 2018 yıl</w:t>
      </w:r>
      <w:r w:rsidRPr="008B2319">
        <w:rPr>
          <w:bCs/>
          <w:color w:val="000000" w:themeColor="text1"/>
        </w:rPr>
        <w:t>ında</w:t>
      </w:r>
      <w:r w:rsidR="00645C67">
        <w:rPr>
          <w:bCs/>
          <w:color w:val="000000" w:themeColor="text1"/>
        </w:rPr>
        <w:t xml:space="preserve"> </w:t>
      </w:r>
      <w:r w:rsidR="000C1EBE" w:rsidRPr="008B2319">
        <w:rPr>
          <w:bCs/>
          <w:color w:val="000000" w:themeColor="text1"/>
        </w:rPr>
        <w:lastRenderedPageBreak/>
        <w:t>Bakanlık tarafından yürütülen denetimler</w:t>
      </w:r>
      <w:r w:rsidR="00814A7E" w:rsidRPr="008B2319">
        <w:rPr>
          <w:bCs/>
          <w:color w:val="000000" w:themeColor="text1"/>
        </w:rPr>
        <w:t xml:space="preserve">de </w:t>
      </w:r>
      <w:proofErr w:type="gramStart"/>
      <w:r w:rsidR="00814A7E" w:rsidRPr="008B2319">
        <w:rPr>
          <w:bCs/>
          <w:color w:val="000000" w:themeColor="text1"/>
        </w:rPr>
        <w:t>şikayetlerin</w:t>
      </w:r>
      <w:proofErr w:type="gramEnd"/>
      <w:r w:rsidR="00814A7E" w:rsidRPr="008B2319">
        <w:rPr>
          <w:bCs/>
          <w:color w:val="000000" w:themeColor="text1"/>
        </w:rPr>
        <w:t xml:space="preserve"> etkisi </w:t>
      </w:r>
      <w:r w:rsidR="00682108" w:rsidRPr="008B2319">
        <w:rPr>
          <w:bCs/>
          <w:color w:val="000000" w:themeColor="text1"/>
        </w:rPr>
        <w:t>%</w:t>
      </w:r>
      <w:r w:rsidR="0033519F" w:rsidRPr="008B2319">
        <w:rPr>
          <w:bCs/>
          <w:color w:val="000000" w:themeColor="text1"/>
        </w:rPr>
        <w:t>1</w:t>
      </w:r>
      <w:r w:rsidR="00682108" w:rsidRPr="008B2319">
        <w:rPr>
          <w:bCs/>
          <w:color w:val="000000" w:themeColor="text1"/>
        </w:rPr>
        <w:t xml:space="preserve"> düzeyinde</w:t>
      </w:r>
      <w:r w:rsidR="00842D48">
        <w:rPr>
          <w:bCs/>
          <w:color w:val="000000" w:themeColor="text1"/>
        </w:rPr>
        <w:t xml:space="preserve"> ve </w:t>
      </w:r>
      <w:r w:rsidR="00842D48" w:rsidRPr="008B2319">
        <w:rPr>
          <w:bCs/>
          <w:color w:val="000000" w:themeColor="text1"/>
        </w:rPr>
        <w:t>son olarak</w:t>
      </w:r>
      <w:r w:rsidR="00842D48">
        <w:rPr>
          <w:bCs/>
          <w:color w:val="000000" w:themeColor="text1"/>
        </w:rPr>
        <w:t xml:space="preserve"> 2019 yılında %5 olarak</w:t>
      </w:r>
      <w:r w:rsidR="00682108" w:rsidRPr="008B2319">
        <w:rPr>
          <w:bCs/>
          <w:color w:val="000000" w:themeColor="text1"/>
        </w:rPr>
        <w:t xml:space="preserve"> gerçekleşmiştir.</w:t>
      </w:r>
      <w:r w:rsidR="00645C67">
        <w:rPr>
          <w:bCs/>
          <w:color w:val="000000" w:themeColor="text1"/>
        </w:rPr>
        <w:t xml:space="preserve"> </w:t>
      </w:r>
      <w:r w:rsidR="00682108" w:rsidRPr="008B2319">
        <w:rPr>
          <w:bCs/>
          <w:color w:val="000000" w:themeColor="text1"/>
        </w:rPr>
        <w:t xml:space="preserve">2009 yılında faaliyete geçirilen ALO 174 Gıda Hattı çağrı merkezine, tüketiciler Türkiye’nin her yerinden “gıda” ile ilgili her türlü istek, bilgi edinme, ihbar ve </w:t>
      </w:r>
      <w:proofErr w:type="gramStart"/>
      <w:r w:rsidR="00682108" w:rsidRPr="008B2319">
        <w:rPr>
          <w:bCs/>
          <w:color w:val="000000" w:themeColor="text1"/>
        </w:rPr>
        <w:t>şikayet</w:t>
      </w:r>
      <w:proofErr w:type="gramEnd"/>
      <w:r w:rsidR="00682108" w:rsidRPr="008B2319">
        <w:rPr>
          <w:bCs/>
          <w:color w:val="000000" w:themeColor="text1"/>
        </w:rPr>
        <w:t xml:space="preserve"> bildirebilmektedir. Bu çağrı merkezi tarafından alınan ihbar ve şikâyetler web tabanlı yazılımlar sayes</w:t>
      </w:r>
      <w:r w:rsidR="00645C67">
        <w:rPr>
          <w:bCs/>
          <w:color w:val="000000" w:themeColor="text1"/>
        </w:rPr>
        <w:t>inde içeriğine göre Bakanlığ</w:t>
      </w:r>
      <w:r w:rsidR="00682108" w:rsidRPr="008B2319">
        <w:rPr>
          <w:bCs/>
          <w:color w:val="000000" w:themeColor="text1"/>
        </w:rPr>
        <w:t xml:space="preserve">ın ilgili birimlerine iletilmektedir. İlgili birimlerce ALO 174 Gıda Hattına yapılan başvuruların incelenmesinden sonra, Bakanlık resmi kontrol görevlilerince </w:t>
      </w:r>
      <w:proofErr w:type="gramStart"/>
      <w:r w:rsidR="00682108" w:rsidRPr="008B2319">
        <w:rPr>
          <w:bCs/>
          <w:color w:val="000000" w:themeColor="text1"/>
        </w:rPr>
        <w:t>şikayete</w:t>
      </w:r>
      <w:proofErr w:type="gramEnd"/>
      <w:r w:rsidR="00682108" w:rsidRPr="008B2319">
        <w:rPr>
          <w:bCs/>
          <w:color w:val="000000" w:themeColor="text1"/>
        </w:rPr>
        <w:t xml:space="preserve"> konu gıda işletmesine gidilerek gerekli resmi kontroller yapılmaktadır. Resmi kontrol sonucunda, uygunsuzluk tespit edilmesi durumunda, gıda işletmesine 5996 sayılı Kanun gereği gerekli yasal işlem uygulanmaktadır. Ancak, TOB tarafından yürütülen ALO 174 Gıda Hattına tüketiciler tarafından sadece ihbar ve </w:t>
      </w:r>
      <w:proofErr w:type="gramStart"/>
      <w:r w:rsidR="00682108" w:rsidRPr="008B2319">
        <w:rPr>
          <w:bCs/>
          <w:color w:val="000000" w:themeColor="text1"/>
        </w:rPr>
        <w:t>şikayet</w:t>
      </w:r>
      <w:proofErr w:type="gramEnd"/>
      <w:r w:rsidR="00682108" w:rsidRPr="008B2319">
        <w:rPr>
          <w:bCs/>
          <w:color w:val="000000" w:themeColor="text1"/>
        </w:rPr>
        <w:t xml:space="preserve"> kapsamında başvuru yapılmamakta olup bunun yanında bilgi edinme, istek vb. konularda da sıklıkla başvuru yapılmaktadır. Ayrıca, Bakanlıkça gıda resmi kontrollerinin işletmeye yönelik yapılması ve ürün denetiminin bu resmi kontrollerin sadece bir parçası olması sebebiyle, gıda maddeleri için </w:t>
      </w:r>
      <w:proofErr w:type="gramStart"/>
      <w:r w:rsidR="00682108" w:rsidRPr="008B2319">
        <w:rPr>
          <w:bCs/>
          <w:color w:val="000000" w:themeColor="text1"/>
        </w:rPr>
        <w:t>şikayetlerde</w:t>
      </w:r>
      <w:proofErr w:type="gramEnd"/>
      <w:r w:rsidR="00682108" w:rsidRPr="008B2319">
        <w:rPr>
          <w:bCs/>
          <w:color w:val="000000" w:themeColor="text1"/>
        </w:rPr>
        <w:t xml:space="preserve"> ürün deneti</w:t>
      </w:r>
      <w:r w:rsidR="002D0631" w:rsidRPr="008B2319">
        <w:rPr>
          <w:bCs/>
          <w:color w:val="000000" w:themeColor="text1"/>
        </w:rPr>
        <w:t xml:space="preserve">mleri yanında diğer denetimler </w:t>
      </w:r>
      <w:r w:rsidR="00682108" w:rsidRPr="008B2319">
        <w:rPr>
          <w:bCs/>
          <w:color w:val="000000" w:themeColor="text1"/>
        </w:rPr>
        <w:t>d</w:t>
      </w:r>
      <w:r w:rsidR="002D0631" w:rsidRPr="008B2319">
        <w:rPr>
          <w:bCs/>
          <w:color w:val="000000" w:themeColor="text1"/>
        </w:rPr>
        <w:t>e dikkate alınmıştır.</w:t>
      </w:r>
    </w:p>
    <w:p w:rsidR="00D83D19" w:rsidRDefault="004A0553" w:rsidP="00D83D19">
      <w:pPr>
        <w:pStyle w:val="GvdeMetni"/>
        <w:ind w:firstLine="709"/>
        <w:rPr>
          <w:color w:val="000000" w:themeColor="text1"/>
        </w:rPr>
      </w:pPr>
      <w:r>
        <w:rPr>
          <w:color w:val="000000" w:themeColor="text1"/>
        </w:rPr>
        <w:t>K</w:t>
      </w:r>
      <w:r w:rsidR="0096169B" w:rsidRPr="000554FC">
        <w:rPr>
          <w:color w:val="000000" w:themeColor="text1"/>
        </w:rPr>
        <w:t>uruluşlara ulaşan şikâyet verileri ve şikâyet üzerine yapılan denetim verilerinin değerlendirilmesi sonucunda öne çıkan hususlara ise aşağıda yer verilmiştir:</w:t>
      </w:r>
    </w:p>
    <w:p w:rsidR="00D83D19" w:rsidRDefault="00D83D19" w:rsidP="00D83D19">
      <w:pPr>
        <w:pStyle w:val="GvdeMetni"/>
        <w:ind w:firstLine="709"/>
        <w:rPr>
          <w:color w:val="000000" w:themeColor="text1"/>
        </w:rPr>
      </w:pPr>
    </w:p>
    <w:p w:rsidR="005135DB" w:rsidRPr="008B2319" w:rsidRDefault="0096169B" w:rsidP="005135DB">
      <w:pPr>
        <w:pStyle w:val="GvdeMetni"/>
        <w:numPr>
          <w:ilvl w:val="0"/>
          <w:numId w:val="7"/>
        </w:numPr>
        <w:spacing w:after="240"/>
        <w:ind w:left="426" w:firstLine="0"/>
        <w:rPr>
          <w:color w:val="000000" w:themeColor="text1"/>
        </w:rPr>
      </w:pPr>
      <w:r w:rsidRPr="008B2319">
        <w:rPr>
          <w:color w:val="000000" w:themeColor="text1"/>
        </w:rPr>
        <w:t>201</w:t>
      </w:r>
      <w:r w:rsidR="005135DB">
        <w:rPr>
          <w:color w:val="000000" w:themeColor="text1"/>
        </w:rPr>
        <w:t>8</w:t>
      </w:r>
      <w:r w:rsidRPr="008B2319">
        <w:rPr>
          <w:color w:val="000000" w:themeColor="text1"/>
        </w:rPr>
        <w:t>’d</w:t>
      </w:r>
      <w:r w:rsidR="005135DB">
        <w:rPr>
          <w:color w:val="000000" w:themeColor="text1"/>
        </w:rPr>
        <w:t>e</w:t>
      </w:r>
      <w:r w:rsidR="009C5784" w:rsidRPr="008B2319">
        <w:rPr>
          <w:color w:val="000000" w:themeColor="text1"/>
        </w:rPr>
        <w:t>,</w:t>
      </w:r>
      <w:r w:rsidR="006C21F7" w:rsidRPr="008B2319">
        <w:rPr>
          <w:color w:val="000000" w:themeColor="text1"/>
        </w:rPr>
        <w:t xml:space="preserve"> TOB</w:t>
      </w:r>
      <w:r w:rsidR="004A0553" w:rsidRPr="008B2319">
        <w:rPr>
          <w:bCs/>
          <w:color w:val="000000" w:themeColor="text1"/>
        </w:rPr>
        <w:t xml:space="preserve"> dışındaki</w:t>
      </w:r>
      <w:r w:rsidR="00645C67">
        <w:rPr>
          <w:bCs/>
          <w:color w:val="000000" w:themeColor="text1"/>
        </w:rPr>
        <w:t xml:space="preserve"> </w:t>
      </w:r>
      <w:r w:rsidR="000C1EBE" w:rsidRPr="008B2319">
        <w:rPr>
          <w:color w:val="000000" w:themeColor="text1"/>
        </w:rPr>
        <w:t>7</w:t>
      </w:r>
      <w:r w:rsidR="009C5784" w:rsidRPr="008B2319">
        <w:rPr>
          <w:color w:val="000000" w:themeColor="text1"/>
        </w:rPr>
        <w:t xml:space="preserve"> PGD kuruluşu tarafından, kendilerine ulaşan </w:t>
      </w:r>
      <w:r w:rsidR="004A0553" w:rsidRPr="008B2319">
        <w:rPr>
          <w:color w:val="000000" w:themeColor="text1"/>
        </w:rPr>
        <w:t>3</w:t>
      </w:r>
      <w:r w:rsidR="005135DB">
        <w:rPr>
          <w:color w:val="000000" w:themeColor="text1"/>
        </w:rPr>
        <w:t>.</w:t>
      </w:r>
      <w:r w:rsidR="002068C5" w:rsidRPr="008B2319">
        <w:rPr>
          <w:color w:val="000000" w:themeColor="text1"/>
        </w:rPr>
        <w:t>145</w:t>
      </w:r>
      <w:r w:rsidRPr="008B2319">
        <w:rPr>
          <w:color w:val="000000" w:themeColor="text1"/>
        </w:rPr>
        <w:t xml:space="preserve"> şikâyet üzerine </w:t>
      </w:r>
      <w:r w:rsidR="002068C5" w:rsidRPr="008B2319">
        <w:rPr>
          <w:color w:val="000000" w:themeColor="text1"/>
        </w:rPr>
        <w:t>3.227</w:t>
      </w:r>
      <w:r w:rsidRPr="008B2319">
        <w:rPr>
          <w:color w:val="000000" w:themeColor="text1"/>
        </w:rPr>
        <w:t xml:space="preserve"> ürün partisi </w:t>
      </w:r>
      <w:proofErr w:type="spellStart"/>
      <w:r w:rsidRPr="008B2319">
        <w:rPr>
          <w:color w:val="000000" w:themeColor="text1"/>
        </w:rPr>
        <w:t>denetlen</w:t>
      </w:r>
      <w:r w:rsidR="004A0553" w:rsidRPr="008B2319">
        <w:rPr>
          <w:color w:val="000000" w:themeColor="text1"/>
        </w:rPr>
        <w:t>lenmiştir</w:t>
      </w:r>
      <w:proofErr w:type="spellEnd"/>
      <w:r w:rsidR="004A0553" w:rsidRPr="008B2319">
        <w:rPr>
          <w:color w:val="000000" w:themeColor="text1"/>
        </w:rPr>
        <w:t xml:space="preserve">. </w:t>
      </w:r>
      <w:r w:rsidR="005135DB" w:rsidRPr="008B2319">
        <w:rPr>
          <w:color w:val="000000" w:themeColor="text1"/>
        </w:rPr>
        <w:t>201</w:t>
      </w:r>
      <w:r w:rsidR="005135DB">
        <w:rPr>
          <w:color w:val="000000" w:themeColor="text1"/>
        </w:rPr>
        <w:t>9</w:t>
      </w:r>
      <w:r w:rsidR="005135DB" w:rsidRPr="008B2319">
        <w:rPr>
          <w:color w:val="000000" w:themeColor="text1"/>
        </w:rPr>
        <w:t>’d</w:t>
      </w:r>
      <w:r w:rsidR="005135DB">
        <w:rPr>
          <w:color w:val="000000" w:themeColor="text1"/>
        </w:rPr>
        <w:t>a</w:t>
      </w:r>
      <w:r w:rsidR="005135DB" w:rsidRPr="008B2319">
        <w:rPr>
          <w:color w:val="000000" w:themeColor="text1"/>
        </w:rPr>
        <w:t>, TOB</w:t>
      </w:r>
      <w:r w:rsidR="005135DB" w:rsidRPr="008B2319">
        <w:rPr>
          <w:bCs/>
          <w:color w:val="000000" w:themeColor="text1"/>
        </w:rPr>
        <w:t xml:space="preserve"> dışındaki </w:t>
      </w:r>
      <w:r w:rsidR="005135DB" w:rsidRPr="008B2319">
        <w:rPr>
          <w:color w:val="000000" w:themeColor="text1"/>
        </w:rPr>
        <w:t>7 PGD kuruluşu tarafından, kendilerine ulaşan 3</w:t>
      </w:r>
      <w:r w:rsidR="005135DB">
        <w:rPr>
          <w:color w:val="000000" w:themeColor="text1"/>
        </w:rPr>
        <w:t>.436</w:t>
      </w:r>
      <w:r w:rsidR="005135DB" w:rsidRPr="008B2319">
        <w:rPr>
          <w:color w:val="000000" w:themeColor="text1"/>
        </w:rPr>
        <w:t xml:space="preserve"> şikâyet üzerine </w:t>
      </w:r>
      <w:r w:rsidR="005135DB">
        <w:rPr>
          <w:color w:val="000000" w:themeColor="text1"/>
        </w:rPr>
        <w:t>5.469</w:t>
      </w:r>
      <w:r w:rsidR="005135DB" w:rsidRPr="008B2319">
        <w:rPr>
          <w:color w:val="000000" w:themeColor="text1"/>
        </w:rPr>
        <w:t xml:space="preserve"> ürün partisi </w:t>
      </w:r>
      <w:proofErr w:type="spellStart"/>
      <w:r w:rsidR="005135DB" w:rsidRPr="008B2319">
        <w:rPr>
          <w:color w:val="000000" w:themeColor="text1"/>
        </w:rPr>
        <w:t>denetlenlenmiştir</w:t>
      </w:r>
      <w:proofErr w:type="spellEnd"/>
      <w:r w:rsidR="005135DB" w:rsidRPr="008B2319">
        <w:rPr>
          <w:color w:val="000000" w:themeColor="text1"/>
        </w:rPr>
        <w:t>. Bu alandaki denetimler yaklaşık %</w:t>
      </w:r>
      <w:r w:rsidR="008E3923">
        <w:rPr>
          <w:color w:val="000000" w:themeColor="text1"/>
        </w:rPr>
        <w:t>70oranında artış</w:t>
      </w:r>
      <w:r w:rsidR="005135DB" w:rsidRPr="008B2319">
        <w:rPr>
          <w:color w:val="000000" w:themeColor="text1"/>
        </w:rPr>
        <w:t xml:space="preserve"> göstermiştir.</w:t>
      </w:r>
    </w:p>
    <w:p w:rsidR="00E44477" w:rsidRPr="008B2319" w:rsidRDefault="008E3923" w:rsidP="00C203CB">
      <w:pPr>
        <w:pStyle w:val="GvdeMetni"/>
        <w:numPr>
          <w:ilvl w:val="0"/>
          <w:numId w:val="7"/>
        </w:numPr>
        <w:spacing w:after="240"/>
        <w:ind w:left="426" w:firstLine="0"/>
        <w:rPr>
          <w:color w:val="000000" w:themeColor="text1"/>
        </w:rPr>
      </w:pPr>
      <w:r>
        <w:rPr>
          <w:color w:val="000000" w:themeColor="text1"/>
        </w:rPr>
        <w:t>2018’de</w:t>
      </w:r>
      <w:r w:rsidR="0053638A">
        <w:rPr>
          <w:color w:val="000000" w:themeColor="text1"/>
        </w:rPr>
        <w:t xml:space="preserve"> </w:t>
      </w:r>
      <w:proofErr w:type="spellStart"/>
      <w:r w:rsidR="00C203CB" w:rsidRPr="008B2319">
        <w:rPr>
          <w:color w:val="000000" w:themeColor="text1"/>
        </w:rPr>
        <w:t>STB’ye</w:t>
      </w:r>
      <w:proofErr w:type="spellEnd"/>
      <w:r w:rsidR="00C203CB" w:rsidRPr="008B2319">
        <w:rPr>
          <w:color w:val="000000" w:themeColor="text1"/>
        </w:rPr>
        <w:t xml:space="preserve"> ulaşan şikâyet sayısı; “taşınabilir basınçlı </w:t>
      </w:r>
      <w:proofErr w:type="spellStart"/>
      <w:r w:rsidR="00C203CB" w:rsidRPr="008B2319">
        <w:rPr>
          <w:color w:val="000000" w:themeColor="text1"/>
        </w:rPr>
        <w:t>ekipmanlar”</w:t>
      </w:r>
      <w:r>
        <w:rPr>
          <w:color w:val="000000" w:themeColor="text1"/>
        </w:rPr>
        <w:t>da</w:t>
      </w:r>
      <w:proofErr w:type="spellEnd"/>
      <w:r w:rsidR="0053638A">
        <w:rPr>
          <w:color w:val="000000" w:themeColor="text1"/>
        </w:rPr>
        <w:t xml:space="preserve"> </w:t>
      </w:r>
      <w:r>
        <w:rPr>
          <w:color w:val="000000" w:themeColor="text1"/>
        </w:rPr>
        <w:t xml:space="preserve">639, </w:t>
      </w:r>
      <w:r w:rsidR="00C203CB" w:rsidRPr="008B2319">
        <w:rPr>
          <w:color w:val="000000" w:themeColor="text1"/>
        </w:rPr>
        <w:t>“</w:t>
      </w:r>
      <w:proofErr w:type="spellStart"/>
      <w:r w:rsidR="00C203CB" w:rsidRPr="008B2319">
        <w:rPr>
          <w:color w:val="000000" w:themeColor="text1"/>
        </w:rPr>
        <w:t>otomotivler”</w:t>
      </w:r>
      <w:r>
        <w:rPr>
          <w:color w:val="000000" w:themeColor="text1"/>
        </w:rPr>
        <w:t>de</w:t>
      </w:r>
      <w:proofErr w:type="spellEnd"/>
      <w:r>
        <w:rPr>
          <w:color w:val="000000" w:themeColor="text1"/>
        </w:rPr>
        <w:t xml:space="preserve"> 32 şikâyet</w:t>
      </w:r>
      <w:r w:rsidR="0053638A">
        <w:rPr>
          <w:color w:val="000000" w:themeColor="text1"/>
        </w:rPr>
        <w:t xml:space="preserve"> </w:t>
      </w:r>
      <w:r>
        <w:rPr>
          <w:color w:val="000000" w:themeColor="text1"/>
        </w:rPr>
        <w:t xml:space="preserve">ve </w:t>
      </w:r>
      <w:r w:rsidR="00C203CB" w:rsidRPr="008B2319">
        <w:rPr>
          <w:color w:val="000000" w:themeColor="text1"/>
        </w:rPr>
        <w:t xml:space="preserve"> “elektrikli </w:t>
      </w:r>
      <w:r>
        <w:rPr>
          <w:color w:val="000000" w:themeColor="text1"/>
        </w:rPr>
        <w:t xml:space="preserve">ekipmanlar” ürün grubunda 203 </w:t>
      </w:r>
      <w:proofErr w:type="gramStart"/>
      <w:r>
        <w:rPr>
          <w:color w:val="000000" w:themeColor="text1"/>
        </w:rPr>
        <w:t>şikayet</w:t>
      </w:r>
      <w:proofErr w:type="gramEnd"/>
      <w:r w:rsidR="00C203CB" w:rsidRPr="008B2319">
        <w:rPr>
          <w:color w:val="000000" w:themeColor="text1"/>
        </w:rPr>
        <w:t xml:space="preserve"> ve “enerji </w:t>
      </w:r>
      <w:r>
        <w:rPr>
          <w:color w:val="000000" w:themeColor="text1"/>
        </w:rPr>
        <w:t>verimliliği” ürün grubunda 40 şikayet</w:t>
      </w:r>
      <w:r w:rsidR="00C203CB" w:rsidRPr="008B2319">
        <w:rPr>
          <w:color w:val="000000" w:themeColor="text1"/>
        </w:rPr>
        <w:t xml:space="preserve"> olmuştur. </w:t>
      </w:r>
      <w:r>
        <w:rPr>
          <w:color w:val="000000" w:themeColor="text1"/>
        </w:rPr>
        <w:t xml:space="preserve">Bununla birlikte, 2019 yılında bir önceki yıla kıyasla </w:t>
      </w:r>
      <w:r w:rsidRPr="008B2319">
        <w:rPr>
          <w:color w:val="000000" w:themeColor="text1"/>
        </w:rPr>
        <w:t>“taşınabilir basınçlı ekipmanlar”</w:t>
      </w:r>
      <w:r>
        <w:rPr>
          <w:color w:val="000000" w:themeColor="text1"/>
        </w:rPr>
        <w:t xml:space="preserve">da%74 azalışla 168 adet,  </w:t>
      </w:r>
      <w:r w:rsidRPr="008B2319">
        <w:rPr>
          <w:color w:val="000000" w:themeColor="text1"/>
        </w:rPr>
        <w:t>“</w:t>
      </w:r>
      <w:proofErr w:type="spellStart"/>
      <w:r w:rsidRPr="008B2319">
        <w:rPr>
          <w:color w:val="000000" w:themeColor="text1"/>
        </w:rPr>
        <w:t>otomotivler”</w:t>
      </w:r>
      <w:r>
        <w:rPr>
          <w:color w:val="000000" w:themeColor="text1"/>
        </w:rPr>
        <w:t>de</w:t>
      </w:r>
      <w:proofErr w:type="spellEnd"/>
      <w:r>
        <w:rPr>
          <w:color w:val="000000" w:themeColor="text1"/>
        </w:rPr>
        <w:t xml:space="preserve"> %53 artışla 49 </w:t>
      </w:r>
      <w:proofErr w:type="gramStart"/>
      <w:r>
        <w:rPr>
          <w:color w:val="000000" w:themeColor="text1"/>
        </w:rPr>
        <w:t>adet,</w:t>
      </w:r>
      <w:proofErr w:type="gramEnd"/>
      <w:r>
        <w:rPr>
          <w:color w:val="000000" w:themeColor="text1"/>
        </w:rPr>
        <w:t xml:space="preserve">  ve </w:t>
      </w:r>
      <w:r w:rsidRPr="008B2319">
        <w:rPr>
          <w:color w:val="000000" w:themeColor="text1"/>
        </w:rPr>
        <w:t xml:space="preserve"> “elektrikli </w:t>
      </w:r>
      <w:proofErr w:type="spellStart"/>
      <w:r>
        <w:rPr>
          <w:color w:val="000000" w:themeColor="text1"/>
        </w:rPr>
        <w:t>ekipmanlar”da</w:t>
      </w:r>
      <w:proofErr w:type="spellEnd"/>
      <w:r>
        <w:rPr>
          <w:color w:val="000000" w:themeColor="text1"/>
        </w:rPr>
        <w:t xml:space="preserve"> %41 azalışla 120 adet ve  </w:t>
      </w:r>
      <w:r w:rsidRPr="008B2319">
        <w:rPr>
          <w:color w:val="000000" w:themeColor="text1"/>
        </w:rPr>
        <w:t xml:space="preserve">“enerji </w:t>
      </w:r>
      <w:r>
        <w:rPr>
          <w:color w:val="000000" w:themeColor="text1"/>
        </w:rPr>
        <w:t xml:space="preserve">verimliliği” ürün grubunda %88 azalışla 5 adet şikayet olmuştur. </w:t>
      </w:r>
      <w:proofErr w:type="spellStart"/>
      <w:r w:rsidRPr="008B2319">
        <w:rPr>
          <w:color w:val="000000" w:themeColor="text1"/>
        </w:rPr>
        <w:t>STB’ye</w:t>
      </w:r>
      <w:proofErr w:type="spellEnd"/>
      <w:r w:rsidRPr="008B2319">
        <w:rPr>
          <w:color w:val="000000" w:themeColor="text1"/>
        </w:rPr>
        <w:t xml:space="preserve"> ulaşan şikâyet sayısı en çok asansör alanında (</w:t>
      </w:r>
      <w:r w:rsidR="001A69E4">
        <w:rPr>
          <w:color w:val="000000" w:themeColor="text1"/>
        </w:rPr>
        <w:t>1</w:t>
      </w:r>
      <w:r w:rsidR="00645C67">
        <w:rPr>
          <w:color w:val="000000" w:themeColor="text1"/>
        </w:rPr>
        <w:t>.</w:t>
      </w:r>
      <w:r w:rsidR="001A69E4">
        <w:rPr>
          <w:color w:val="000000" w:themeColor="text1"/>
        </w:rPr>
        <w:t xml:space="preserve">414 </w:t>
      </w:r>
      <w:proofErr w:type="gramStart"/>
      <w:r w:rsidRPr="008B2319">
        <w:rPr>
          <w:color w:val="000000" w:themeColor="text1"/>
        </w:rPr>
        <w:t>şikayet</w:t>
      </w:r>
      <w:proofErr w:type="gramEnd"/>
      <w:r w:rsidRPr="008B2319">
        <w:rPr>
          <w:color w:val="000000" w:themeColor="text1"/>
        </w:rPr>
        <w:t>) olmuştur.</w:t>
      </w:r>
    </w:p>
    <w:p w:rsidR="0096169B" w:rsidRDefault="0096169B" w:rsidP="00BE41A3">
      <w:pPr>
        <w:pStyle w:val="GvdeMetni"/>
        <w:numPr>
          <w:ilvl w:val="0"/>
          <w:numId w:val="7"/>
        </w:numPr>
        <w:spacing w:after="240"/>
        <w:ind w:left="426" w:firstLine="0"/>
        <w:rPr>
          <w:color w:val="000000" w:themeColor="text1"/>
        </w:rPr>
      </w:pPr>
      <w:proofErr w:type="spellStart"/>
      <w:r w:rsidRPr="008B2319">
        <w:rPr>
          <w:color w:val="000000" w:themeColor="text1"/>
        </w:rPr>
        <w:t>ÇŞB</w:t>
      </w:r>
      <w:r w:rsidR="001F4A1B" w:rsidRPr="008B2319">
        <w:rPr>
          <w:color w:val="000000" w:themeColor="text1"/>
        </w:rPr>
        <w:t>’ye</w:t>
      </w:r>
      <w:r w:rsidR="00E4024A" w:rsidRPr="008B2319">
        <w:rPr>
          <w:color w:val="000000" w:themeColor="text1"/>
        </w:rPr>
        <w:t>yapı</w:t>
      </w:r>
      <w:proofErr w:type="spellEnd"/>
      <w:r w:rsidR="00E4024A" w:rsidRPr="008B2319">
        <w:rPr>
          <w:color w:val="000000" w:themeColor="text1"/>
        </w:rPr>
        <w:t xml:space="preserve"> malzemeleri alanında </w:t>
      </w:r>
      <w:r w:rsidR="001F4A1B" w:rsidRPr="008B2319">
        <w:rPr>
          <w:color w:val="000000" w:themeColor="text1"/>
        </w:rPr>
        <w:t xml:space="preserve">ulaşan </w:t>
      </w:r>
      <w:proofErr w:type="gramStart"/>
      <w:r w:rsidR="001F4A1B" w:rsidRPr="008B2319">
        <w:rPr>
          <w:color w:val="000000" w:themeColor="text1"/>
        </w:rPr>
        <w:t>şikayetler</w:t>
      </w:r>
      <w:proofErr w:type="gramEnd"/>
      <w:r w:rsidR="00734740">
        <w:rPr>
          <w:color w:val="000000" w:themeColor="text1"/>
        </w:rPr>
        <w:t xml:space="preserve"> bir önceki yıla göre %43 oranında artarak 70’e yükselmiştir. </w:t>
      </w:r>
    </w:p>
    <w:p w:rsidR="00C84E5E" w:rsidRPr="00C84E5E" w:rsidRDefault="0053638A" w:rsidP="00BE41A3">
      <w:pPr>
        <w:pStyle w:val="GvdeMetni"/>
        <w:numPr>
          <w:ilvl w:val="0"/>
          <w:numId w:val="7"/>
        </w:numPr>
        <w:spacing w:after="240"/>
        <w:ind w:left="426" w:firstLine="0"/>
        <w:rPr>
          <w:color w:val="000000" w:themeColor="text1"/>
        </w:rPr>
      </w:pPr>
      <w:proofErr w:type="spellStart"/>
      <w:r>
        <w:rPr>
          <w:color w:val="000000" w:themeColor="text1"/>
        </w:rPr>
        <w:t>TOB’a</w:t>
      </w:r>
      <w:proofErr w:type="spellEnd"/>
      <w:r>
        <w:rPr>
          <w:color w:val="000000" w:themeColor="text1"/>
        </w:rPr>
        <w:t xml:space="preserve"> </w:t>
      </w:r>
      <w:r w:rsidR="00C84E5E">
        <w:rPr>
          <w:color w:val="000000" w:themeColor="text1"/>
        </w:rPr>
        <w:t xml:space="preserve">ulaşan </w:t>
      </w:r>
      <w:r w:rsidR="00062019">
        <w:rPr>
          <w:color w:val="000000" w:themeColor="text1"/>
        </w:rPr>
        <w:t>89.882</w:t>
      </w:r>
      <w:r>
        <w:rPr>
          <w:color w:val="000000" w:themeColor="text1"/>
        </w:rPr>
        <w:t xml:space="preserve"> </w:t>
      </w:r>
      <w:proofErr w:type="gramStart"/>
      <w:r w:rsidR="00C84E5E">
        <w:rPr>
          <w:color w:val="000000" w:themeColor="text1"/>
        </w:rPr>
        <w:t>şikaye</w:t>
      </w:r>
      <w:r w:rsidR="00C84E5E" w:rsidRPr="000A0093">
        <w:rPr>
          <w:color w:val="000000" w:themeColor="text1"/>
        </w:rPr>
        <w:t>t</w:t>
      </w:r>
      <w:r w:rsidR="00A107AF" w:rsidRPr="000A0093">
        <w:rPr>
          <w:color w:val="000000" w:themeColor="text1"/>
        </w:rPr>
        <w:t>in</w:t>
      </w:r>
      <w:proofErr w:type="gramEnd"/>
      <w:r w:rsidR="00C84E5E">
        <w:rPr>
          <w:color w:val="000000" w:themeColor="text1"/>
        </w:rPr>
        <w:t xml:space="preserve"> olduğu</w:t>
      </w:r>
      <w:r w:rsidR="00A107AF">
        <w:rPr>
          <w:color w:val="000000" w:themeColor="text1"/>
        </w:rPr>
        <w:t>;</w:t>
      </w:r>
      <w:r w:rsidR="00C84E5E">
        <w:rPr>
          <w:color w:val="000000" w:themeColor="text1"/>
        </w:rPr>
        <w:t xml:space="preserve"> ancak bu şikayetler üzerine yalnızca </w:t>
      </w:r>
      <w:r w:rsidR="00062019">
        <w:rPr>
          <w:color w:val="000000" w:themeColor="text1"/>
        </w:rPr>
        <w:t>5.471</w:t>
      </w:r>
      <w:r w:rsidR="00C84E5E">
        <w:rPr>
          <w:color w:val="000000" w:themeColor="text1"/>
        </w:rPr>
        <w:t xml:space="preserve"> ürünün denetlendiği ve </w:t>
      </w:r>
      <w:r w:rsidR="004F6807">
        <w:rPr>
          <w:color w:val="000000" w:themeColor="text1"/>
        </w:rPr>
        <w:t xml:space="preserve">şikayet/ihbar üzerine denetlenen ürünlerden uygunsuz bulunan ürünlerin sayısının </w:t>
      </w:r>
      <w:r w:rsidR="00062019">
        <w:rPr>
          <w:color w:val="000000" w:themeColor="text1"/>
        </w:rPr>
        <w:t>643</w:t>
      </w:r>
      <w:r w:rsidR="004F6807">
        <w:rPr>
          <w:color w:val="000000" w:themeColor="text1"/>
        </w:rPr>
        <w:t xml:space="preserve"> olduğu görülmüştür</w:t>
      </w:r>
      <w:r w:rsidR="00C84E5E">
        <w:rPr>
          <w:color w:val="000000" w:themeColor="text1"/>
        </w:rPr>
        <w:t xml:space="preserve"> Bakanlığa ulaşan şikayetlerin uygunsuzluk </w:t>
      </w:r>
      <w:r w:rsidR="00062019">
        <w:rPr>
          <w:color w:val="000000" w:themeColor="text1"/>
        </w:rPr>
        <w:t>tespit</w:t>
      </w:r>
      <w:r w:rsidR="00C84E5E">
        <w:rPr>
          <w:color w:val="000000" w:themeColor="text1"/>
        </w:rPr>
        <w:t>indeki bu yüksek oranı göz önüne alındığında, şikayetlerin denetimlerde daha yüksek oranda kullanımının faydalı olabileceği değerlendirilmektedir.</w:t>
      </w:r>
    </w:p>
    <w:p w:rsidR="0096169B" w:rsidRPr="000554FC" w:rsidRDefault="004A0553" w:rsidP="00BE41A3">
      <w:pPr>
        <w:pStyle w:val="GvdeMetni"/>
        <w:numPr>
          <w:ilvl w:val="0"/>
          <w:numId w:val="7"/>
        </w:numPr>
        <w:spacing w:after="240"/>
        <w:ind w:left="426" w:firstLine="0"/>
        <w:rPr>
          <w:color w:val="000000" w:themeColor="text1"/>
        </w:rPr>
      </w:pPr>
      <w:r>
        <w:rPr>
          <w:color w:val="000000" w:themeColor="text1"/>
        </w:rPr>
        <w:t>201</w:t>
      </w:r>
      <w:r w:rsidR="00062019">
        <w:rPr>
          <w:color w:val="000000" w:themeColor="text1"/>
        </w:rPr>
        <w:t>9</w:t>
      </w:r>
      <w:r w:rsidR="0053638A">
        <w:rPr>
          <w:color w:val="000000" w:themeColor="text1"/>
        </w:rPr>
        <w:t xml:space="preserve"> </w:t>
      </w:r>
      <w:r w:rsidR="0096169B" w:rsidRPr="000554FC">
        <w:rPr>
          <w:color w:val="000000" w:themeColor="text1"/>
        </w:rPr>
        <w:t>yılında</w:t>
      </w:r>
      <w:r w:rsidR="0053638A">
        <w:rPr>
          <w:color w:val="000000" w:themeColor="text1"/>
        </w:rPr>
        <w:t xml:space="preserve"> </w:t>
      </w:r>
      <w:r>
        <w:rPr>
          <w:color w:val="000000" w:themeColor="text1"/>
        </w:rPr>
        <w:t xml:space="preserve">kuruluşlara </w:t>
      </w:r>
      <w:r w:rsidR="0096169B" w:rsidRPr="000554FC">
        <w:rPr>
          <w:color w:val="000000" w:themeColor="text1"/>
        </w:rPr>
        <w:t xml:space="preserve">ulaşan şikâyetlerin kaynakları incelendiğinde,  </w:t>
      </w:r>
    </w:p>
    <w:p w:rsidR="0096169B" w:rsidRPr="000554FC" w:rsidRDefault="006C21F7" w:rsidP="00BE41A3">
      <w:pPr>
        <w:pStyle w:val="GvdeMetni"/>
        <w:numPr>
          <w:ilvl w:val="0"/>
          <w:numId w:val="8"/>
        </w:numPr>
        <w:ind w:left="426" w:firstLine="0"/>
        <w:rPr>
          <w:color w:val="000000" w:themeColor="text1"/>
        </w:rPr>
      </w:pPr>
      <w:r w:rsidRPr="000554FC">
        <w:rPr>
          <w:color w:val="000000" w:themeColor="text1"/>
        </w:rPr>
        <w:t>Y</w:t>
      </w:r>
      <w:r w:rsidR="0096169B" w:rsidRPr="000554FC">
        <w:rPr>
          <w:color w:val="000000" w:themeColor="text1"/>
        </w:rPr>
        <w:t>alnızca</w:t>
      </w:r>
      <w:r w:rsidR="00645C67">
        <w:rPr>
          <w:color w:val="000000" w:themeColor="text1"/>
        </w:rPr>
        <w:t xml:space="preserve"> </w:t>
      </w:r>
      <w:r w:rsidR="008A77F3">
        <w:rPr>
          <w:color w:val="000000" w:themeColor="text1"/>
        </w:rPr>
        <w:t>1</w:t>
      </w:r>
      <w:r w:rsidR="00062019">
        <w:rPr>
          <w:color w:val="000000" w:themeColor="text1"/>
        </w:rPr>
        <w:t>0</w:t>
      </w:r>
      <w:r w:rsidR="0096169B" w:rsidRPr="000554FC">
        <w:rPr>
          <w:color w:val="000000" w:themeColor="text1"/>
        </w:rPr>
        <w:t xml:space="preserve"> şikâyetin tüketici örgütleri tarafından yapılmış olduğu, </w:t>
      </w:r>
    </w:p>
    <w:p w:rsidR="002816E6" w:rsidRDefault="004A0553" w:rsidP="00BE41A3">
      <w:pPr>
        <w:pStyle w:val="GvdeMetni"/>
        <w:numPr>
          <w:ilvl w:val="0"/>
          <w:numId w:val="8"/>
        </w:numPr>
        <w:ind w:left="426" w:firstLine="0"/>
        <w:rPr>
          <w:color w:val="000000" w:themeColor="text1"/>
        </w:rPr>
      </w:pPr>
      <w:proofErr w:type="gramStart"/>
      <w:r w:rsidRPr="000554FC">
        <w:rPr>
          <w:color w:val="000000" w:themeColor="text1"/>
        </w:rPr>
        <w:t>doğrudan</w:t>
      </w:r>
      <w:proofErr w:type="gramEnd"/>
      <w:r w:rsidRPr="000554FC">
        <w:rPr>
          <w:color w:val="000000" w:themeColor="text1"/>
        </w:rPr>
        <w:t xml:space="preserve"> kişilerden ilgili kuruluşlara</w:t>
      </w:r>
      <w:r>
        <w:rPr>
          <w:color w:val="000000" w:themeColor="text1"/>
        </w:rPr>
        <w:t xml:space="preserve"> ulaşan şikayet sayısının </w:t>
      </w:r>
      <w:r w:rsidR="00C84E5E">
        <w:rPr>
          <w:color w:val="000000" w:themeColor="text1"/>
        </w:rPr>
        <w:t>%</w:t>
      </w:r>
      <w:r w:rsidR="00062019">
        <w:rPr>
          <w:color w:val="000000" w:themeColor="text1"/>
        </w:rPr>
        <w:t>65 art</w:t>
      </w:r>
      <w:r w:rsidR="00C84E5E">
        <w:rPr>
          <w:color w:val="000000" w:themeColor="text1"/>
        </w:rPr>
        <w:t>arak 1</w:t>
      </w:r>
      <w:r w:rsidR="008A77F3">
        <w:rPr>
          <w:color w:val="000000" w:themeColor="text1"/>
        </w:rPr>
        <w:t>501</w:t>
      </w:r>
      <w:r w:rsidR="00267791">
        <w:rPr>
          <w:color w:val="000000" w:themeColor="text1"/>
        </w:rPr>
        <w:t>’</w:t>
      </w:r>
      <w:r w:rsidR="00062019">
        <w:rPr>
          <w:color w:val="000000" w:themeColor="text1"/>
        </w:rPr>
        <w:t>d</w:t>
      </w:r>
      <w:r w:rsidR="00267791">
        <w:rPr>
          <w:color w:val="000000" w:themeColor="text1"/>
        </w:rPr>
        <w:t>e</w:t>
      </w:r>
      <w:r w:rsidR="00062019">
        <w:rPr>
          <w:color w:val="000000" w:themeColor="text1"/>
        </w:rPr>
        <w:t>n 2468’e yükseldiği,</w:t>
      </w:r>
    </w:p>
    <w:p w:rsidR="0096169B" w:rsidRPr="000554FC" w:rsidRDefault="002816E6" w:rsidP="00BE41A3">
      <w:pPr>
        <w:pStyle w:val="GvdeMetni"/>
        <w:numPr>
          <w:ilvl w:val="0"/>
          <w:numId w:val="8"/>
        </w:numPr>
        <w:ind w:left="426" w:firstLine="0"/>
        <w:rPr>
          <w:color w:val="000000" w:themeColor="text1"/>
        </w:rPr>
      </w:pPr>
      <w:proofErr w:type="gramStart"/>
      <w:r>
        <w:rPr>
          <w:color w:val="000000" w:themeColor="text1"/>
        </w:rPr>
        <w:t>kişilerden</w:t>
      </w:r>
      <w:proofErr w:type="gramEnd"/>
      <w:r w:rsidR="00645C67">
        <w:rPr>
          <w:color w:val="000000" w:themeColor="text1"/>
        </w:rPr>
        <w:t xml:space="preserve"> </w:t>
      </w:r>
      <w:r w:rsidRPr="003C3E88">
        <w:rPr>
          <w:color w:val="000000" w:themeColor="text1"/>
        </w:rPr>
        <w:t>gelen şikayetlerin en çok asansörler (</w:t>
      </w:r>
      <w:r w:rsidR="00062019" w:rsidRPr="003C3E88">
        <w:rPr>
          <w:color w:val="000000" w:themeColor="text1"/>
        </w:rPr>
        <w:t>1.138</w:t>
      </w:r>
      <w:r w:rsidRPr="003C3E88">
        <w:rPr>
          <w:color w:val="000000" w:themeColor="text1"/>
        </w:rPr>
        <w:t xml:space="preserve">), </w:t>
      </w:r>
      <w:r w:rsidR="008A77F3" w:rsidRPr="003C3E88">
        <w:rPr>
          <w:color w:val="000000" w:themeColor="text1"/>
        </w:rPr>
        <w:t>kozmetik (</w:t>
      </w:r>
      <w:r w:rsidR="008734E7" w:rsidRPr="003C3E88">
        <w:rPr>
          <w:color w:val="000000" w:themeColor="text1"/>
        </w:rPr>
        <w:t>654</w:t>
      </w:r>
      <w:r w:rsidR="008A77F3" w:rsidRPr="003C3E88">
        <w:rPr>
          <w:color w:val="000000" w:themeColor="text1"/>
        </w:rPr>
        <w:t xml:space="preserve">) </w:t>
      </w:r>
      <w:r w:rsidRPr="003C3E88">
        <w:rPr>
          <w:color w:val="000000" w:themeColor="text1"/>
        </w:rPr>
        <w:t xml:space="preserve">ve </w:t>
      </w:r>
      <w:r w:rsidR="008734E7" w:rsidRPr="003C3E88">
        <w:rPr>
          <w:color w:val="000000" w:themeColor="text1"/>
        </w:rPr>
        <w:t>tıbbi cihazlar</w:t>
      </w:r>
      <w:r w:rsidR="008A77F3" w:rsidRPr="003C3E88">
        <w:rPr>
          <w:color w:val="000000" w:themeColor="text1"/>
        </w:rPr>
        <w:t xml:space="preserve"> (</w:t>
      </w:r>
      <w:r w:rsidR="008734E7" w:rsidRPr="003C3E88">
        <w:rPr>
          <w:color w:val="000000" w:themeColor="text1"/>
        </w:rPr>
        <w:t>228</w:t>
      </w:r>
      <w:r w:rsidR="008A77F3" w:rsidRPr="003C3E88">
        <w:rPr>
          <w:color w:val="000000" w:themeColor="text1"/>
        </w:rPr>
        <w:t xml:space="preserve">) </w:t>
      </w:r>
      <w:r w:rsidRPr="003C3E88">
        <w:rPr>
          <w:color w:val="000000" w:themeColor="text1"/>
        </w:rPr>
        <w:t>ürün grubuna yönelik olduğu,</w:t>
      </w:r>
    </w:p>
    <w:p w:rsidR="0096169B" w:rsidRPr="008A77F3" w:rsidRDefault="0096169B" w:rsidP="00A77EFC">
      <w:pPr>
        <w:pStyle w:val="GvdeMetni"/>
        <w:numPr>
          <w:ilvl w:val="0"/>
          <w:numId w:val="8"/>
        </w:numPr>
        <w:ind w:left="426" w:firstLine="0"/>
        <w:rPr>
          <w:color w:val="000000" w:themeColor="text1"/>
        </w:rPr>
      </w:pPr>
      <w:proofErr w:type="gramStart"/>
      <w:r w:rsidRPr="008A77F3">
        <w:rPr>
          <w:color w:val="000000" w:themeColor="text1"/>
        </w:rPr>
        <w:t>sektörden</w:t>
      </w:r>
      <w:proofErr w:type="gramEnd"/>
      <w:r w:rsidRPr="008A77F3">
        <w:rPr>
          <w:color w:val="000000" w:themeColor="text1"/>
        </w:rPr>
        <w:t xml:space="preserve"> PGD kuruluşlarına ulaşan </w:t>
      </w:r>
      <w:r w:rsidR="008A77F3">
        <w:rPr>
          <w:color w:val="000000" w:themeColor="text1"/>
        </w:rPr>
        <w:t>şikayet sayısının 201</w:t>
      </w:r>
      <w:r w:rsidR="00753433">
        <w:rPr>
          <w:color w:val="000000" w:themeColor="text1"/>
        </w:rPr>
        <w:t>8</w:t>
      </w:r>
      <w:r w:rsidR="008A77F3">
        <w:rPr>
          <w:color w:val="000000" w:themeColor="text1"/>
        </w:rPr>
        <w:t xml:space="preserve"> yılında </w:t>
      </w:r>
      <w:r w:rsidR="00753433">
        <w:rPr>
          <w:color w:val="000000" w:themeColor="text1"/>
        </w:rPr>
        <w:t>312</w:t>
      </w:r>
      <w:r w:rsidR="008A77F3">
        <w:rPr>
          <w:color w:val="000000" w:themeColor="text1"/>
        </w:rPr>
        <w:t xml:space="preserve"> iken 201</w:t>
      </w:r>
      <w:r w:rsidR="00753433">
        <w:rPr>
          <w:color w:val="000000" w:themeColor="text1"/>
        </w:rPr>
        <w:t>9</w:t>
      </w:r>
      <w:r w:rsidR="008A77F3">
        <w:rPr>
          <w:color w:val="000000" w:themeColor="text1"/>
        </w:rPr>
        <w:t xml:space="preserve"> yılında </w:t>
      </w:r>
      <w:r w:rsidR="00753433">
        <w:rPr>
          <w:color w:val="000000" w:themeColor="text1"/>
        </w:rPr>
        <w:t>23</w:t>
      </w:r>
      <w:r w:rsidR="008A77F3" w:rsidRPr="008A77F3">
        <w:rPr>
          <w:color w:val="000000" w:themeColor="text1"/>
        </w:rPr>
        <w:t>0’a düştüğü</w:t>
      </w:r>
      <w:r w:rsidR="008A77F3">
        <w:rPr>
          <w:color w:val="000000" w:themeColor="text1"/>
        </w:rPr>
        <w:t>,</w:t>
      </w:r>
    </w:p>
    <w:p w:rsidR="0096169B" w:rsidRPr="000554FC" w:rsidRDefault="0096169B" w:rsidP="00BE41A3">
      <w:pPr>
        <w:pStyle w:val="GvdeMetni"/>
        <w:numPr>
          <w:ilvl w:val="0"/>
          <w:numId w:val="8"/>
        </w:numPr>
        <w:ind w:left="426" w:firstLine="0"/>
        <w:rPr>
          <w:color w:val="000000" w:themeColor="text1"/>
        </w:rPr>
      </w:pPr>
      <w:proofErr w:type="gramStart"/>
      <w:r w:rsidRPr="000554FC">
        <w:rPr>
          <w:color w:val="000000" w:themeColor="text1"/>
        </w:rPr>
        <w:t>basın</w:t>
      </w:r>
      <w:proofErr w:type="gramEnd"/>
      <w:r w:rsidRPr="000554FC">
        <w:rPr>
          <w:color w:val="000000" w:themeColor="text1"/>
        </w:rPr>
        <w:t xml:space="preserve"> yayın kuruluşlarından gelen şikâyet</w:t>
      </w:r>
      <w:r w:rsidR="00C84E5E">
        <w:rPr>
          <w:color w:val="000000" w:themeColor="text1"/>
        </w:rPr>
        <w:t xml:space="preserve"> sayısının 2016 yılında </w:t>
      </w:r>
      <w:r w:rsidR="00C84E5E" w:rsidRPr="000554FC">
        <w:rPr>
          <w:color w:val="000000" w:themeColor="text1"/>
        </w:rPr>
        <w:t>13</w:t>
      </w:r>
      <w:r w:rsidR="00604B52">
        <w:rPr>
          <w:color w:val="000000" w:themeColor="text1"/>
        </w:rPr>
        <w:t xml:space="preserve">2, </w:t>
      </w:r>
      <w:r w:rsidR="00C84E5E">
        <w:rPr>
          <w:color w:val="000000" w:themeColor="text1"/>
        </w:rPr>
        <w:t>2017 yılında 6</w:t>
      </w:r>
      <w:r w:rsidR="00753433">
        <w:rPr>
          <w:color w:val="000000" w:themeColor="text1"/>
        </w:rPr>
        <w:t xml:space="preserve"> iken 2018 yılında hiç yokken 2019’da 2 olduğu</w:t>
      </w:r>
      <w:r w:rsidR="00604B52">
        <w:rPr>
          <w:color w:val="000000" w:themeColor="text1"/>
        </w:rPr>
        <w:t>,</w:t>
      </w:r>
    </w:p>
    <w:p w:rsidR="00C84E5E" w:rsidRDefault="00753433" w:rsidP="00BE41A3">
      <w:pPr>
        <w:pStyle w:val="GvdeMetni"/>
        <w:numPr>
          <w:ilvl w:val="0"/>
          <w:numId w:val="8"/>
        </w:numPr>
        <w:ind w:left="426" w:firstLine="0"/>
        <w:rPr>
          <w:color w:val="000000" w:themeColor="text1"/>
        </w:rPr>
      </w:pPr>
      <w:r>
        <w:rPr>
          <w:color w:val="000000" w:themeColor="text1"/>
        </w:rPr>
        <w:lastRenderedPageBreak/>
        <w:t>723</w:t>
      </w:r>
      <w:r w:rsidR="00645C67">
        <w:rPr>
          <w:color w:val="000000" w:themeColor="text1"/>
        </w:rPr>
        <w:t xml:space="preserve"> </w:t>
      </w:r>
      <w:r w:rsidR="0096169B" w:rsidRPr="000554FC">
        <w:rPr>
          <w:color w:val="000000" w:themeColor="text1"/>
        </w:rPr>
        <w:t>şikâyetin diğer yollarla ilgili kuruluşlara ulaştırılmış olduğu</w:t>
      </w:r>
      <w:r w:rsidR="002816E6">
        <w:rPr>
          <w:color w:val="000000" w:themeColor="text1"/>
        </w:rPr>
        <w:t>,</w:t>
      </w:r>
    </w:p>
    <w:p w:rsidR="004A0553" w:rsidRDefault="00270D76" w:rsidP="00BE41A3">
      <w:pPr>
        <w:pStyle w:val="GvdeMetni"/>
        <w:numPr>
          <w:ilvl w:val="0"/>
          <w:numId w:val="8"/>
        </w:numPr>
        <w:ind w:left="426" w:firstLine="0"/>
        <w:rPr>
          <w:color w:val="000000" w:themeColor="text1"/>
        </w:rPr>
      </w:pPr>
      <w:r>
        <w:rPr>
          <w:color w:val="000000" w:themeColor="text1"/>
        </w:rPr>
        <w:t>201</w:t>
      </w:r>
      <w:r w:rsidR="00753433">
        <w:rPr>
          <w:color w:val="000000" w:themeColor="text1"/>
        </w:rPr>
        <w:t>9</w:t>
      </w:r>
      <w:r w:rsidR="004A0553" w:rsidRPr="00C84E5E">
        <w:rPr>
          <w:color w:val="000000" w:themeColor="text1"/>
        </w:rPr>
        <w:t xml:space="preserve"> yılında “gıda ve gıda ile temas eden madde ve malzemeler” (</w:t>
      </w:r>
      <w:r w:rsidR="00753433">
        <w:rPr>
          <w:bCs/>
          <w:color w:val="000000" w:themeColor="text1"/>
          <w:lang w:eastAsia="tr-TR"/>
        </w:rPr>
        <w:t>89.667</w:t>
      </w:r>
      <w:r w:rsidR="004A0553" w:rsidRPr="00C84E5E">
        <w:rPr>
          <w:color w:val="000000" w:themeColor="text1"/>
        </w:rPr>
        <w:t>)</w:t>
      </w:r>
      <w:r w:rsidR="006C21F7">
        <w:rPr>
          <w:color w:val="000000" w:themeColor="text1"/>
        </w:rPr>
        <w:t>, “katı yakıtlar”</w:t>
      </w:r>
      <w:r>
        <w:rPr>
          <w:color w:val="000000" w:themeColor="text1"/>
        </w:rPr>
        <w:t xml:space="preserve"> (1.</w:t>
      </w:r>
      <w:r w:rsidR="00753433">
        <w:rPr>
          <w:color w:val="000000" w:themeColor="text1"/>
        </w:rPr>
        <w:t>755</w:t>
      </w:r>
      <w:r>
        <w:rPr>
          <w:color w:val="000000" w:themeColor="text1"/>
        </w:rPr>
        <w:t>)</w:t>
      </w:r>
      <w:r w:rsidR="004A0553" w:rsidRPr="00C84E5E">
        <w:rPr>
          <w:color w:val="000000" w:themeColor="text1"/>
        </w:rPr>
        <w:t xml:space="preserve"> ve “</w:t>
      </w:r>
      <w:r>
        <w:rPr>
          <w:color w:val="000000" w:themeColor="text1"/>
        </w:rPr>
        <w:t>asansörler” (</w:t>
      </w:r>
      <w:r w:rsidR="00753433">
        <w:rPr>
          <w:color w:val="000000" w:themeColor="text1"/>
        </w:rPr>
        <w:t>1.414</w:t>
      </w:r>
      <w:r w:rsidR="004A0553" w:rsidRPr="00C84E5E">
        <w:rPr>
          <w:color w:val="000000" w:themeColor="text1"/>
        </w:rPr>
        <w:t>) en fazla şikâyet a</w:t>
      </w:r>
      <w:r w:rsidR="002816E6">
        <w:rPr>
          <w:color w:val="000000" w:themeColor="text1"/>
        </w:rPr>
        <w:t>lınan ürün grupları olduğu,</w:t>
      </w:r>
    </w:p>
    <w:p w:rsidR="002816E6" w:rsidRDefault="006C21F7" w:rsidP="00BE41A3">
      <w:pPr>
        <w:pStyle w:val="GvdeMetni"/>
        <w:numPr>
          <w:ilvl w:val="0"/>
          <w:numId w:val="8"/>
        </w:numPr>
        <w:ind w:left="426" w:firstLine="0"/>
        <w:rPr>
          <w:color w:val="000000" w:themeColor="text1"/>
        </w:rPr>
      </w:pPr>
      <w:r>
        <w:rPr>
          <w:color w:val="000000" w:themeColor="text1"/>
        </w:rPr>
        <w:t xml:space="preserve">Ayrıca </w:t>
      </w:r>
      <w:r w:rsidR="002816E6">
        <w:rPr>
          <w:color w:val="000000" w:themeColor="text1"/>
        </w:rPr>
        <w:t xml:space="preserve">STB sorumluluğundaki yasal metroloji ürün grubunda </w:t>
      </w:r>
      <w:proofErr w:type="gramStart"/>
      <w:r w:rsidR="002816E6">
        <w:rPr>
          <w:color w:val="000000" w:themeColor="text1"/>
        </w:rPr>
        <w:t>şikayetler</w:t>
      </w:r>
      <w:proofErr w:type="gramEnd"/>
      <w:r w:rsidR="002816E6">
        <w:rPr>
          <w:color w:val="000000" w:themeColor="text1"/>
        </w:rPr>
        <w:t xml:space="preserve"> üzerine </w:t>
      </w:r>
      <w:r w:rsidR="00753433">
        <w:rPr>
          <w:color w:val="000000" w:themeColor="text1"/>
        </w:rPr>
        <w:t>12</w:t>
      </w:r>
      <w:r w:rsidR="002816E6">
        <w:rPr>
          <w:color w:val="000000" w:themeColor="text1"/>
        </w:rPr>
        <w:t xml:space="preserve"> ürün</w:t>
      </w:r>
      <w:r w:rsidR="00753433">
        <w:rPr>
          <w:color w:val="000000" w:themeColor="text1"/>
        </w:rPr>
        <w:t xml:space="preserve"> grubunun</w:t>
      </w:r>
      <w:r w:rsidR="002816E6">
        <w:rPr>
          <w:color w:val="000000" w:themeColor="text1"/>
        </w:rPr>
        <w:t xml:space="preserve"> denetlendiği</w:t>
      </w:r>
      <w:r w:rsidR="00267791">
        <w:rPr>
          <w:color w:val="000000" w:themeColor="text1"/>
        </w:rPr>
        <w:t>;</w:t>
      </w:r>
      <w:r w:rsidR="00270D76">
        <w:rPr>
          <w:color w:val="000000" w:themeColor="text1"/>
        </w:rPr>
        <w:t xml:space="preserve"> denetlenen ürünlerden uygunsuz bulunanların sayısının </w:t>
      </w:r>
      <w:r w:rsidR="00753433">
        <w:rPr>
          <w:color w:val="000000" w:themeColor="text1"/>
        </w:rPr>
        <w:t>6</w:t>
      </w:r>
      <w:r w:rsidR="00270D76">
        <w:rPr>
          <w:color w:val="000000" w:themeColor="text1"/>
        </w:rPr>
        <w:t xml:space="preserve"> olduğu, </w:t>
      </w:r>
      <w:r w:rsidR="002816E6">
        <w:rPr>
          <w:color w:val="000000" w:themeColor="text1"/>
        </w:rPr>
        <w:t>şikayetlerin</w:t>
      </w:r>
      <w:r w:rsidR="00645C67">
        <w:rPr>
          <w:color w:val="000000" w:themeColor="text1"/>
        </w:rPr>
        <w:t xml:space="preserve"> </w:t>
      </w:r>
      <w:r w:rsidR="00753433">
        <w:rPr>
          <w:color w:val="000000" w:themeColor="text1"/>
        </w:rPr>
        <w:t>7</w:t>
      </w:r>
      <w:r w:rsidR="00270D76">
        <w:rPr>
          <w:color w:val="000000" w:themeColor="text1"/>
        </w:rPr>
        <w:t xml:space="preserve"> tanesinin kişilerden geldiği, 1 tanesinin </w:t>
      </w:r>
      <w:r w:rsidR="00753433">
        <w:rPr>
          <w:color w:val="000000" w:themeColor="text1"/>
        </w:rPr>
        <w:t>sektörden</w:t>
      </w:r>
      <w:r w:rsidR="00270D76">
        <w:rPr>
          <w:color w:val="000000" w:themeColor="text1"/>
        </w:rPr>
        <w:t xml:space="preserve"> geldiği ve </w:t>
      </w:r>
      <w:r w:rsidR="00753433">
        <w:rPr>
          <w:color w:val="000000" w:themeColor="text1"/>
        </w:rPr>
        <w:t>4</w:t>
      </w:r>
      <w:r w:rsidR="00270D76">
        <w:rPr>
          <w:color w:val="000000" w:themeColor="text1"/>
        </w:rPr>
        <w:t xml:space="preserve"> şikayetinde kaynağının diğer kaynaklardan ulaştığı, </w:t>
      </w:r>
    </w:p>
    <w:p w:rsidR="0096169B" w:rsidRPr="002816E6" w:rsidRDefault="002816E6" w:rsidP="00863337">
      <w:pPr>
        <w:pStyle w:val="GvdeMetni"/>
        <w:numPr>
          <w:ilvl w:val="0"/>
          <w:numId w:val="8"/>
        </w:numPr>
        <w:ind w:left="426" w:firstLine="0"/>
        <w:rPr>
          <w:color w:val="000000" w:themeColor="text1"/>
        </w:rPr>
      </w:pPr>
      <w:r w:rsidRPr="002816E6">
        <w:rPr>
          <w:color w:val="000000" w:themeColor="text1"/>
        </w:rPr>
        <w:t>ÇŞB sorumluluğundaki katı yakıtlar</w:t>
      </w:r>
      <w:r w:rsidR="007D03EF">
        <w:rPr>
          <w:color w:val="000000" w:themeColor="text1"/>
        </w:rPr>
        <w:t xml:space="preserve"> ürün grubunda, </w:t>
      </w:r>
      <w:r w:rsidR="00753433">
        <w:rPr>
          <w:color w:val="000000" w:themeColor="text1"/>
        </w:rPr>
        <w:t>1.570</w:t>
      </w:r>
      <w:r w:rsidR="00270D76">
        <w:rPr>
          <w:color w:val="000000" w:themeColor="text1"/>
        </w:rPr>
        <w:t>’i</w:t>
      </w:r>
      <w:r w:rsidRPr="000A0093">
        <w:rPr>
          <w:color w:val="000000" w:themeColor="text1"/>
        </w:rPr>
        <w:t xml:space="preserve"> kişiler tarafından </w:t>
      </w:r>
      <w:r w:rsidR="006C21F7">
        <w:rPr>
          <w:color w:val="000000" w:themeColor="text1"/>
        </w:rPr>
        <w:t xml:space="preserve">olmak üzere, </w:t>
      </w:r>
      <w:r w:rsidR="007D03EF" w:rsidRPr="000A0093">
        <w:rPr>
          <w:color w:val="000000" w:themeColor="text1"/>
        </w:rPr>
        <w:t xml:space="preserve">Bakanlığa </w:t>
      </w:r>
      <w:r w:rsidRPr="000A0093">
        <w:rPr>
          <w:color w:val="000000" w:themeColor="text1"/>
        </w:rPr>
        <w:t>iletilen</w:t>
      </w:r>
      <w:r w:rsidRPr="002816E6">
        <w:rPr>
          <w:color w:val="000000" w:themeColor="text1"/>
        </w:rPr>
        <w:t xml:space="preserve"> 1</w:t>
      </w:r>
      <w:r w:rsidR="00753433">
        <w:rPr>
          <w:color w:val="000000" w:themeColor="text1"/>
        </w:rPr>
        <w:t>.755</w:t>
      </w:r>
      <w:r w:rsidRPr="002816E6">
        <w:rPr>
          <w:color w:val="000000" w:themeColor="text1"/>
        </w:rPr>
        <w:t xml:space="preserve">şikayet üzerine </w:t>
      </w:r>
      <w:r w:rsidR="00753433">
        <w:rPr>
          <w:color w:val="000000" w:themeColor="text1"/>
        </w:rPr>
        <w:t>9</w:t>
      </w:r>
      <w:r w:rsidR="00270D76">
        <w:rPr>
          <w:color w:val="000000" w:themeColor="text1"/>
        </w:rPr>
        <w:t>.</w:t>
      </w:r>
      <w:r w:rsidR="00753433">
        <w:rPr>
          <w:color w:val="000000" w:themeColor="text1"/>
        </w:rPr>
        <w:t>084</w:t>
      </w:r>
      <w:r w:rsidR="00270D76">
        <w:rPr>
          <w:color w:val="000000" w:themeColor="text1"/>
        </w:rPr>
        <w:t>.</w:t>
      </w:r>
      <w:r w:rsidR="00753433">
        <w:rPr>
          <w:color w:val="000000" w:themeColor="text1"/>
        </w:rPr>
        <w:t>959</w:t>
      </w:r>
      <w:r w:rsidR="00F7235D">
        <w:rPr>
          <w:color w:val="000000" w:themeColor="text1"/>
        </w:rPr>
        <w:t>ton</w:t>
      </w:r>
      <w:r w:rsidRPr="002816E6">
        <w:rPr>
          <w:color w:val="000000" w:themeColor="text1"/>
        </w:rPr>
        <w:t xml:space="preserve"> katı yakıt denetlendiği </w:t>
      </w:r>
    </w:p>
    <w:p w:rsidR="00B80D06" w:rsidRDefault="001F7D85" w:rsidP="00BE41A3">
      <w:pPr>
        <w:pStyle w:val="GvdeMetni"/>
        <w:ind w:left="426"/>
        <w:rPr>
          <w:color w:val="000000" w:themeColor="text1"/>
        </w:rPr>
      </w:pPr>
      <w:proofErr w:type="gramStart"/>
      <w:r>
        <w:rPr>
          <w:color w:val="000000" w:themeColor="text1"/>
        </w:rPr>
        <w:t>görülmektedir</w:t>
      </w:r>
      <w:proofErr w:type="gramEnd"/>
      <w:r>
        <w:rPr>
          <w:color w:val="000000" w:themeColor="text1"/>
        </w:rPr>
        <w:t>.</w:t>
      </w:r>
    </w:p>
    <w:p w:rsidR="00B80D06" w:rsidRDefault="00B80D06" w:rsidP="00BE41A3">
      <w:pPr>
        <w:pStyle w:val="GvdeMetni"/>
        <w:ind w:firstLine="709"/>
        <w:rPr>
          <w:color w:val="000000" w:themeColor="text1"/>
        </w:rPr>
      </w:pPr>
    </w:p>
    <w:p w:rsidR="00EB189F" w:rsidRDefault="00B80D06" w:rsidP="00BE41A3">
      <w:pPr>
        <w:autoSpaceDE w:val="0"/>
        <w:autoSpaceDN w:val="0"/>
        <w:adjustRightInd w:val="0"/>
        <w:spacing w:after="240"/>
        <w:ind w:firstLine="709"/>
        <w:jc w:val="both"/>
        <w:rPr>
          <w:bCs/>
          <w:color w:val="000000" w:themeColor="text1"/>
        </w:rPr>
      </w:pPr>
      <w:r w:rsidRPr="002B5C42">
        <w:rPr>
          <w:bCs/>
          <w:color w:val="000000" w:themeColor="text1"/>
        </w:rPr>
        <w:t>201</w:t>
      </w:r>
      <w:r w:rsidR="00753433">
        <w:rPr>
          <w:bCs/>
          <w:color w:val="000000" w:themeColor="text1"/>
        </w:rPr>
        <w:t>9</w:t>
      </w:r>
      <w:r w:rsidRPr="002B5C42">
        <w:rPr>
          <w:bCs/>
          <w:color w:val="000000" w:themeColor="text1"/>
        </w:rPr>
        <w:t xml:space="preserve"> yılında, kuruluşların </w:t>
      </w:r>
      <w:r w:rsidR="00393B94" w:rsidRPr="002B5C42">
        <w:rPr>
          <w:bCs/>
          <w:color w:val="000000" w:themeColor="text1"/>
        </w:rPr>
        <w:t>şikâyet</w:t>
      </w:r>
      <w:r w:rsidRPr="002B5C42">
        <w:rPr>
          <w:bCs/>
          <w:color w:val="000000" w:themeColor="text1"/>
        </w:rPr>
        <w:t xml:space="preserve"> kaynaklarına ilişkin daha detaylı veri sağlayabildiği görülmektedir. </w:t>
      </w:r>
    </w:p>
    <w:p w:rsidR="00EB189F" w:rsidRDefault="00054002" w:rsidP="00BE41A3">
      <w:pPr>
        <w:autoSpaceDE w:val="0"/>
        <w:autoSpaceDN w:val="0"/>
        <w:adjustRightInd w:val="0"/>
        <w:spacing w:after="240"/>
        <w:ind w:firstLine="709"/>
        <w:jc w:val="both"/>
        <w:rPr>
          <w:bCs/>
          <w:color w:val="000000" w:themeColor="text1"/>
        </w:rPr>
      </w:pPr>
      <w:r>
        <w:rPr>
          <w:bCs/>
          <w:color w:val="000000" w:themeColor="text1"/>
        </w:rPr>
        <w:t>TOB tarafından “g</w:t>
      </w:r>
      <w:r w:rsidRPr="00054002">
        <w:rPr>
          <w:bCs/>
          <w:color w:val="000000" w:themeColor="text1"/>
        </w:rPr>
        <w:t>ıda ve gıda ile temas eden madde ve malzemeler</w:t>
      </w:r>
      <w:r>
        <w:rPr>
          <w:bCs/>
          <w:color w:val="000000" w:themeColor="text1"/>
        </w:rPr>
        <w:t>”</w:t>
      </w:r>
      <w:r w:rsidRPr="00054002">
        <w:rPr>
          <w:bCs/>
          <w:color w:val="000000" w:themeColor="text1"/>
        </w:rPr>
        <w:t xml:space="preserve"> için </w:t>
      </w:r>
      <w:r>
        <w:rPr>
          <w:bCs/>
          <w:color w:val="000000" w:themeColor="text1"/>
        </w:rPr>
        <w:t xml:space="preserve">belirtilen </w:t>
      </w:r>
      <w:proofErr w:type="gramStart"/>
      <w:r>
        <w:rPr>
          <w:bCs/>
          <w:color w:val="000000" w:themeColor="text1"/>
        </w:rPr>
        <w:t>şikayet</w:t>
      </w:r>
      <w:proofErr w:type="gramEnd"/>
      <w:r>
        <w:rPr>
          <w:bCs/>
          <w:color w:val="000000" w:themeColor="text1"/>
        </w:rPr>
        <w:t xml:space="preserve"> kaynakları verilerinin </w:t>
      </w:r>
      <w:r w:rsidRPr="00054002">
        <w:rPr>
          <w:bCs/>
          <w:color w:val="000000" w:themeColor="text1"/>
        </w:rPr>
        <w:t>Alo 174 Gıda Hattı</w:t>
      </w:r>
      <w:r>
        <w:rPr>
          <w:bCs/>
          <w:color w:val="000000" w:themeColor="text1"/>
        </w:rPr>
        <w:t>’</w:t>
      </w:r>
      <w:r w:rsidRPr="00054002">
        <w:rPr>
          <w:bCs/>
          <w:color w:val="000000" w:themeColor="text1"/>
        </w:rPr>
        <w:t>na gıda bilgi edinme, istek, ihbar ve şikâyet kapsamında yapılan tüm başvuruları içer</w:t>
      </w:r>
      <w:r>
        <w:rPr>
          <w:bCs/>
          <w:color w:val="000000" w:themeColor="text1"/>
        </w:rPr>
        <w:t xml:space="preserve">diği bilgisi verilmiştir. </w:t>
      </w:r>
    </w:p>
    <w:p w:rsidR="00753433" w:rsidRPr="00E231CC" w:rsidRDefault="00054002" w:rsidP="00E231CC">
      <w:pPr>
        <w:autoSpaceDE w:val="0"/>
        <w:autoSpaceDN w:val="0"/>
        <w:adjustRightInd w:val="0"/>
        <w:spacing w:after="240"/>
        <w:ind w:firstLine="709"/>
        <w:jc w:val="both"/>
        <w:rPr>
          <w:color w:val="FF0000"/>
        </w:rPr>
      </w:pPr>
      <w:r>
        <w:rPr>
          <w:bCs/>
          <w:color w:val="000000" w:themeColor="text1"/>
        </w:rPr>
        <w:t xml:space="preserve">SB tarafından, “kozmetikler”  ürün grubuna yönelik olarak </w:t>
      </w:r>
      <w:r w:rsidR="006C21F7">
        <w:rPr>
          <w:bCs/>
          <w:color w:val="000000" w:themeColor="text1"/>
        </w:rPr>
        <w:t>201</w:t>
      </w:r>
      <w:r w:rsidR="00753433">
        <w:rPr>
          <w:bCs/>
          <w:color w:val="000000" w:themeColor="text1"/>
        </w:rPr>
        <w:t>8 yılından</w:t>
      </w:r>
      <w:r w:rsidRPr="00054002">
        <w:rPr>
          <w:bCs/>
          <w:color w:val="000000" w:themeColor="text1"/>
        </w:rPr>
        <w:t xml:space="preserve"> devam eden ve sonuçlanan veriler ile birlikte 201</w:t>
      </w:r>
      <w:r w:rsidR="00753433">
        <w:rPr>
          <w:bCs/>
          <w:color w:val="000000" w:themeColor="text1"/>
        </w:rPr>
        <w:t>9</w:t>
      </w:r>
      <w:r w:rsidRPr="00054002">
        <w:rPr>
          <w:bCs/>
          <w:color w:val="000000" w:themeColor="text1"/>
        </w:rPr>
        <w:t xml:space="preserve"> yılında başlatılan ve sonuçlanan veriler</w:t>
      </w:r>
      <w:r>
        <w:rPr>
          <w:bCs/>
          <w:color w:val="000000" w:themeColor="text1"/>
        </w:rPr>
        <w:t xml:space="preserve">in yer aldığı, </w:t>
      </w:r>
      <w:r w:rsidRPr="00054002">
        <w:rPr>
          <w:bCs/>
          <w:color w:val="000000" w:themeColor="text1"/>
        </w:rPr>
        <w:t>201</w:t>
      </w:r>
      <w:r w:rsidR="00F12844">
        <w:rPr>
          <w:bCs/>
          <w:color w:val="000000" w:themeColor="text1"/>
        </w:rPr>
        <w:t>9</w:t>
      </w:r>
      <w:r w:rsidRPr="00054002">
        <w:rPr>
          <w:bCs/>
          <w:color w:val="000000" w:themeColor="text1"/>
        </w:rPr>
        <w:t xml:space="preserve"> yılında başlatılan ve </w:t>
      </w:r>
      <w:proofErr w:type="gramStart"/>
      <w:r w:rsidRPr="00054002">
        <w:rPr>
          <w:bCs/>
          <w:color w:val="000000" w:themeColor="text1"/>
        </w:rPr>
        <w:t>halihazırda</w:t>
      </w:r>
      <w:proofErr w:type="gramEnd"/>
      <w:r w:rsidRPr="00054002">
        <w:rPr>
          <w:bCs/>
          <w:color w:val="000000" w:themeColor="text1"/>
        </w:rPr>
        <w:t xml:space="preserve"> devam eden denetimlere ilişkin veriler</w:t>
      </w:r>
      <w:r>
        <w:rPr>
          <w:bCs/>
          <w:color w:val="000000" w:themeColor="text1"/>
        </w:rPr>
        <w:t>in</w:t>
      </w:r>
      <w:r w:rsidRPr="00054002">
        <w:rPr>
          <w:bCs/>
          <w:color w:val="000000" w:themeColor="text1"/>
        </w:rPr>
        <w:t xml:space="preserve"> so</w:t>
      </w:r>
      <w:r>
        <w:rPr>
          <w:bCs/>
          <w:color w:val="000000" w:themeColor="text1"/>
        </w:rPr>
        <w:t xml:space="preserve">nuçlanmadığı için kaydedilemediği ve </w:t>
      </w:r>
      <w:r w:rsidRPr="00054002">
        <w:rPr>
          <w:bCs/>
          <w:color w:val="000000" w:themeColor="text1"/>
        </w:rPr>
        <w:t xml:space="preserve">bu </w:t>
      </w:r>
      <w:r w:rsidRPr="00AA15FA">
        <w:rPr>
          <w:bCs/>
          <w:color w:val="000000" w:themeColor="text1"/>
        </w:rPr>
        <w:t>denetimlerin verilerinin 20</w:t>
      </w:r>
      <w:r w:rsidR="00F12844" w:rsidRPr="00AA15FA">
        <w:rPr>
          <w:bCs/>
          <w:color w:val="000000" w:themeColor="text1"/>
        </w:rPr>
        <w:t xml:space="preserve">20 yılı </w:t>
      </w:r>
      <w:proofErr w:type="spellStart"/>
      <w:r w:rsidR="00F12844" w:rsidRPr="00AA15FA">
        <w:rPr>
          <w:bCs/>
          <w:color w:val="000000" w:themeColor="text1"/>
        </w:rPr>
        <w:t>raporunda</w:t>
      </w:r>
      <w:r w:rsidRPr="00AA15FA">
        <w:rPr>
          <w:bCs/>
          <w:color w:val="000000" w:themeColor="text1"/>
        </w:rPr>
        <w:t>verileceği</w:t>
      </w:r>
      <w:proofErr w:type="spellEnd"/>
      <w:r w:rsidRPr="00AA15FA">
        <w:rPr>
          <w:bCs/>
          <w:color w:val="000000" w:themeColor="text1"/>
        </w:rPr>
        <w:t xml:space="preserve"> bilgisi alınmıştır. </w:t>
      </w:r>
      <w:r w:rsidR="00E231CC" w:rsidRPr="00AA15FA">
        <w:rPr>
          <w:color w:val="000000" w:themeColor="text1"/>
        </w:rPr>
        <w:t>Tıbbi c</w:t>
      </w:r>
      <w:r w:rsidR="000B1BB6" w:rsidRPr="00AA15FA">
        <w:rPr>
          <w:color w:val="000000" w:themeColor="text1"/>
        </w:rPr>
        <w:t>ihazlarda 2019 yılında toplam denetlenen 2</w:t>
      </w:r>
      <w:r w:rsidR="00484252" w:rsidRPr="00AA15FA">
        <w:rPr>
          <w:color w:val="000000" w:themeColor="text1"/>
        </w:rPr>
        <w:t>.</w:t>
      </w:r>
      <w:r w:rsidR="000B1BB6" w:rsidRPr="00AA15FA">
        <w:rPr>
          <w:color w:val="000000" w:themeColor="text1"/>
        </w:rPr>
        <w:t xml:space="preserve">996 ürün içinde </w:t>
      </w:r>
      <w:proofErr w:type="gramStart"/>
      <w:r w:rsidR="000B1BB6" w:rsidRPr="00AA15FA">
        <w:rPr>
          <w:color w:val="000000" w:themeColor="text1"/>
        </w:rPr>
        <w:t>şikayet</w:t>
      </w:r>
      <w:proofErr w:type="gramEnd"/>
      <w:r w:rsidR="000B1BB6" w:rsidRPr="00AA15FA">
        <w:rPr>
          <w:color w:val="000000" w:themeColor="text1"/>
        </w:rPr>
        <w:t>/ihbar üzerine denetlenen ürün sayısı % 97,56 oranında 2</w:t>
      </w:r>
      <w:r w:rsidR="00E231CC" w:rsidRPr="00AA15FA">
        <w:rPr>
          <w:color w:val="000000" w:themeColor="text1"/>
        </w:rPr>
        <w:t>.</w:t>
      </w:r>
      <w:r w:rsidR="000B1BB6" w:rsidRPr="00AA15FA">
        <w:rPr>
          <w:color w:val="000000" w:themeColor="text1"/>
        </w:rPr>
        <w:t>924 olarak gerçekleşm</w:t>
      </w:r>
      <w:r w:rsidR="00E231CC" w:rsidRPr="00AA15FA">
        <w:rPr>
          <w:color w:val="000000" w:themeColor="text1"/>
        </w:rPr>
        <w:t xml:space="preserve">iştir. Toplam 492 </w:t>
      </w:r>
      <w:proofErr w:type="gramStart"/>
      <w:r w:rsidR="00E231CC" w:rsidRPr="00AA15FA">
        <w:rPr>
          <w:color w:val="000000" w:themeColor="text1"/>
        </w:rPr>
        <w:t>şikayetin</w:t>
      </w:r>
      <w:proofErr w:type="gramEnd"/>
      <w:r w:rsidR="00E231CC" w:rsidRPr="00AA15FA">
        <w:rPr>
          <w:color w:val="000000" w:themeColor="text1"/>
        </w:rPr>
        <w:t xml:space="preserve"> %46’</w:t>
      </w:r>
      <w:r w:rsidR="000B1BB6" w:rsidRPr="00AA15FA">
        <w:rPr>
          <w:color w:val="000000" w:themeColor="text1"/>
        </w:rPr>
        <w:t xml:space="preserve">sı </w:t>
      </w:r>
      <w:r w:rsidR="00484252" w:rsidRPr="00AA15FA">
        <w:rPr>
          <w:color w:val="000000" w:themeColor="text1"/>
        </w:rPr>
        <w:t>kişilerden, %15 i sektörden, % 37’</w:t>
      </w:r>
      <w:r w:rsidR="000B1BB6" w:rsidRPr="00AA15FA">
        <w:rPr>
          <w:color w:val="000000" w:themeColor="text1"/>
        </w:rPr>
        <w:t>si herhangi bir kategoriye girmeyen, sağlık kuruluşu ve kamu yoğun olmak üzere “diğer” kaynaklardan gelmiştir.</w:t>
      </w:r>
    </w:p>
    <w:p w:rsidR="00054002" w:rsidRDefault="00054002" w:rsidP="00BE41A3">
      <w:pPr>
        <w:autoSpaceDE w:val="0"/>
        <w:autoSpaceDN w:val="0"/>
        <w:adjustRightInd w:val="0"/>
        <w:spacing w:after="240"/>
        <w:ind w:firstLine="709"/>
        <w:jc w:val="both"/>
        <w:rPr>
          <w:bCs/>
          <w:color w:val="000000" w:themeColor="text1"/>
        </w:rPr>
      </w:pPr>
      <w:r>
        <w:rPr>
          <w:bCs/>
          <w:color w:val="000000" w:themeColor="text1"/>
        </w:rPr>
        <w:t>ÇŞB tarafından, “k</w:t>
      </w:r>
      <w:r w:rsidRPr="00054002">
        <w:rPr>
          <w:bCs/>
          <w:color w:val="000000" w:themeColor="text1"/>
        </w:rPr>
        <w:t xml:space="preserve">atı </w:t>
      </w:r>
      <w:proofErr w:type="spellStart"/>
      <w:r w:rsidRPr="00054002">
        <w:rPr>
          <w:bCs/>
          <w:color w:val="000000" w:themeColor="text1"/>
        </w:rPr>
        <w:t>yakıtlar</w:t>
      </w:r>
      <w:r>
        <w:rPr>
          <w:bCs/>
          <w:color w:val="000000" w:themeColor="text1"/>
        </w:rPr>
        <w:t>”</w:t>
      </w:r>
      <w:r w:rsidRPr="00054002">
        <w:rPr>
          <w:bCs/>
          <w:color w:val="000000" w:themeColor="text1"/>
        </w:rPr>
        <w:t>a</w:t>
      </w:r>
      <w:proofErr w:type="spellEnd"/>
      <w:r w:rsidRPr="00054002">
        <w:rPr>
          <w:bCs/>
          <w:color w:val="000000" w:themeColor="text1"/>
        </w:rPr>
        <w:t xml:space="preserve"> ilişkin yapılan denetimler</w:t>
      </w:r>
      <w:r>
        <w:rPr>
          <w:bCs/>
          <w:color w:val="000000" w:themeColor="text1"/>
        </w:rPr>
        <w:t>in şikayet/</w:t>
      </w:r>
      <w:r w:rsidRPr="00054002">
        <w:rPr>
          <w:bCs/>
          <w:color w:val="000000" w:themeColor="text1"/>
        </w:rPr>
        <w:t xml:space="preserve">ihbar üzerine, ani ve planlı denetim </w:t>
      </w:r>
      <w:proofErr w:type="gramStart"/>
      <w:r w:rsidRPr="00054002">
        <w:rPr>
          <w:bCs/>
          <w:color w:val="000000" w:themeColor="text1"/>
        </w:rPr>
        <w:t>ş</w:t>
      </w:r>
      <w:r>
        <w:rPr>
          <w:bCs/>
          <w:color w:val="000000" w:themeColor="text1"/>
        </w:rPr>
        <w:t>eklinde  gerçekleştirildiği</w:t>
      </w:r>
      <w:proofErr w:type="gramEnd"/>
      <w:r>
        <w:rPr>
          <w:bCs/>
          <w:color w:val="000000" w:themeColor="text1"/>
        </w:rPr>
        <w:t>, şikayet/</w:t>
      </w:r>
      <w:r w:rsidRPr="00054002">
        <w:rPr>
          <w:bCs/>
          <w:color w:val="000000" w:themeColor="text1"/>
        </w:rPr>
        <w:t>ihbar üzerine yapılan denetimlerde denetlenen ürün miktarı</w:t>
      </w:r>
      <w:r>
        <w:rPr>
          <w:bCs/>
          <w:color w:val="000000" w:themeColor="text1"/>
        </w:rPr>
        <w:t>nın</w:t>
      </w:r>
      <w:r w:rsidRPr="00054002">
        <w:rPr>
          <w:bCs/>
          <w:color w:val="000000" w:themeColor="text1"/>
        </w:rPr>
        <w:t xml:space="preserve"> ayrı olarak tespit edileme</w:t>
      </w:r>
      <w:r>
        <w:rPr>
          <w:bCs/>
          <w:color w:val="000000" w:themeColor="text1"/>
        </w:rPr>
        <w:t>diği belirtilerek, şikayet/</w:t>
      </w:r>
      <w:r w:rsidRPr="00054002">
        <w:rPr>
          <w:bCs/>
          <w:color w:val="000000" w:themeColor="text1"/>
        </w:rPr>
        <w:t>ihbar üzerine denetlenen ürün miktarı yerine toplam denetlenen ürün miktarı yazıl</w:t>
      </w:r>
      <w:r>
        <w:rPr>
          <w:bCs/>
          <w:color w:val="000000" w:themeColor="text1"/>
        </w:rPr>
        <w:t>dığı ifade edilmiştir.</w:t>
      </w:r>
    </w:p>
    <w:p w:rsidR="00AA15FA" w:rsidRDefault="00DC0AC5" w:rsidP="00AA15FA">
      <w:pPr>
        <w:autoSpaceDE w:val="0"/>
        <w:autoSpaceDN w:val="0"/>
        <w:adjustRightInd w:val="0"/>
        <w:spacing w:after="240"/>
        <w:ind w:firstLine="709"/>
        <w:jc w:val="both"/>
        <w:rPr>
          <w:bCs/>
          <w:color w:val="00B050"/>
        </w:rPr>
      </w:pPr>
      <w:r>
        <w:rPr>
          <w:bCs/>
          <w:color w:val="000000" w:themeColor="text1"/>
        </w:rPr>
        <w:t xml:space="preserve">STB tarafından, “petrol ve LPG </w:t>
      </w:r>
      <w:proofErr w:type="spellStart"/>
      <w:r>
        <w:rPr>
          <w:bCs/>
          <w:color w:val="000000" w:themeColor="text1"/>
        </w:rPr>
        <w:t>ürünleri”nde</w:t>
      </w:r>
      <w:r w:rsidRPr="00DC0AC5">
        <w:rPr>
          <w:bCs/>
          <w:color w:val="000000" w:themeColor="text1"/>
        </w:rPr>
        <w:t>şikayetin</w:t>
      </w:r>
      <w:proofErr w:type="spellEnd"/>
      <w:r w:rsidRPr="00DC0AC5">
        <w:rPr>
          <w:bCs/>
          <w:color w:val="000000" w:themeColor="text1"/>
        </w:rPr>
        <w:t xml:space="preserve"> kaynağına göre veriler</w:t>
      </w:r>
      <w:r>
        <w:rPr>
          <w:bCs/>
          <w:color w:val="000000" w:themeColor="text1"/>
        </w:rPr>
        <w:t>in</w:t>
      </w:r>
      <w:r w:rsidRPr="00DC0AC5">
        <w:rPr>
          <w:bCs/>
          <w:color w:val="000000" w:themeColor="text1"/>
        </w:rPr>
        <w:t xml:space="preserve"> mevcut</w:t>
      </w:r>
      <w:r>
        <w:rPr>
          <w:bCs/>
          <w:color w:val="000000" w:themeColor="text1"/>
        </w:rPr>
        <w:t xml:space="preserve"> olduğu ancak </w:t>
      </w:r>
      <w:proofErr w:type="spellStart"/>
      <w:proofErr w:type="gramStart"/>
      <w:r>
        <w:rPr>
          <w:bCs/>
          <w:color w:val="000000" w:themeColor="text1"/>
        </w:rPr>
        <w:t>raporlanamadığı,</w:t>
      </w:r>
      <w:r w:rsidRPr="00DC0AC5">
        <w:rPr>
          <w:bCs/>
          <w:color w:val="000000" w:themeColor="text1"/>
        </w:rPr>
        <w:t>çağrı</w:t>
      </w:r>
      <w:proofErr w:type="spellEnd"/>
      <w:proofErr w:type="gramEnd"/>
      <w:r w:rsidRPr="00DC0AC5">
        <w:rPr>
          <w:bCs/>
          <w:color w:val="000000" w:themeColor="text1"/>
        </w:rPr>
        <w:t xml:space="preserve"> merkezinden gelen çağrılar dikkate alındığında söz konusu verilerin çoğunluğu</w:t>
      </w:r>
      <w:r>
        <w:rPr>
          <w:bCs/>
          <w:color w:val="000000" w:themeColor="text1"/>
        </w:rPr>
        <w:t>nun kişilerde</w:t>
      </w:r>
      <w:r w:rsidR="00AA15FA">
        <w:rPr>
          <w:bCs/>
          <w:color w:val="000000" w:themeColor="text1"/>
        </w:rPr>
        <w:t>n geldiği bilgisi iletilmiştir.</w:t>
      </w:r>
      <w:r w:rsidR="00AA15FA" w:rsidRPr="00484252">
        <w:rPr>
          <w:bCs/>
          <w:color w:val="00B050"/>
        </w:rPr>
        <w:t xml:space="preserve"> </w:t>
      </w:r>
    </w:p>
    <w:p w:rsidR="00DC0AC5" w:rsidRPr="00AA15FA" w:rsidRDefault="00AA15FA" w:rsidP="00AA15FA">
      <w:pPr>
        <w:autoSpaceDE w:val="0"/>
        <w:autoSpaceDN w:val="0"/>
        <w:adjustRightInd w:val="0"/>
        <w:spacing w:after="240"/>
        <w:ind w:firstLine="709"/>
        <w:jc w:val="both"/>
        <w:rPr>
          <w:bCs/>
          <w:color w:val="000000" w:themeColor="text1"/>
        </w:rPr>
      </w:pPr>
      <w:r w:rsidRPr="00AA15FA">
        <w:rPr>
          <w:bCs/>
          <w:color w:val="000000" w:themeColor="text1"/>
        </w:rPr>
        <w:t>T</w:t>
      </w:r>
      <w:r w:rsidR="00484252" w:rsidRPr="00AA15FA">
        <w:rPr>
          <w:bCs/>
          <w:color w:val="000000" w:themeColor="text1"/>
        </w:rPr>
        <w:t xml:space="preserve">KPGGM tarafından iletilen </w:t>
      </w:r>
      <w:proofErr w:type="gramStart"/>
      <w:r w:rsidR="00484252" w:rsidRPr="00AA15FA">
        <w:rPr>
          <w:bCs/>
          <w:color w:val="000000" w:themeColor="text1"/>
        </w:rPr>
        <w:t>şikayet</w:t>
      </w:r>
      <w:proofErr w:type="gramEnd"/>
      <w:r w:rsidR="00484252" w:rsidRPr="00AA15FA">
        <w:rPr>
          <w:bCs/>
          <w:color w:val="000000" w:themeColor="text1"/>
        </w:rPr>
        <w:t xml:space="preserve"> kaynakları incelendiğinde söz konusu verilerin tamamının kişilerden geldiği tespit edilmiştir.</w:t>
      </w:r>
    </w:p>
    <w:p w:rsidR="00B80D06" w:rsidRPr="002B5C42" w:rsidRDefault="00EB189F" w:rsidP="00BE41A3">
      <w:pPr>
        <w:autoSpaceDE w:val="0"/>
        <w:autoSpaceDN w:val="0"/>
        <w:adjustRightInd w:val="0"/>
        <w:spacing w:after="240"/>
        <w:ind w:firstLine="709"/>
        <w:jc w:val="both"/>
        <w:rPr>
          <w:bCs/>
          <w:color w:val="000000" w:themeColor="text1"/>
        </w:rPr>
      </w:pPr>
      <w:r>
        <w:rPr>
          <w:bCs/>
          <w:color w:val="000000" w:themeColor="text1"/>
        </w:rPr>
        <w:t>Diğer taraftan,</w:t>
      </w:r>
      <w:r w:rsidR="00B80D06" w:rsidRPr="002B5C42">
        <w:rPr>
          <w:bCs/>
          <w:color w:val="000000" w:themeColor="text1"/>
        </w:rPr>
        <w:t xml:space="preserve"> kuruluşlar tarafından “şikâyet kaynakları-diğer” kategorisindeki verilerin niteliğine ilişkin bir açıklama yapılmamış olup, önümüzdeki yıllarda bu alanda da veri sağlanması beklenmektedir. </w:t>
      </w:r>
    </w:p>
    <w:p w:rsidR="0096169B" w:rsidRDefault="00B80D06" w:rsidP="00BE41A3">
      <w:pPr>
        <w:autoSpaceDE w:val="0"/>
        <w:autoSpaceDN w:val="0"/>
        <w:adjustRightInd w:val="0"/>
        <w:spacing w:after="240"/>
        <w:ind w:firstLine="709"/>
        <w:jc w:val="both"/>
        <w:rPr>
          <w:bCs/>
          <w:color w:val="000000" w:themeColor="text1"/>
        </w:rPr>
      </w:pPr>
      <w:r w:rsidRPr="000A0093">
        <w:rPr>
          <w:bCs/>
          <w:color w:val="000000" w:themeColor="text1"/>
        </w:rPr>
        <w:t>T</w:t>
      </w:r>
      <w:r w:rsidR="00EB189F">
        <w:rPr>
          <w:bCs/>
          <w:color w:val="000000" w:themeColor="text1"/>
        </w:rPr>
        <w:t>OB</w:t>
      </w:r>
      <w:r w:rsidRPr="000A0093">
        <w:rPr>
          <w:bCs/>
          <w:color w:val="000000" w:themeColor="text1"/>
        </w:rPr>
        <w:t xml:space="preserve"> verileri </w:t>
      </w:r>
      <w:r w:rsidR="001F4A1B" w:rsidRPr="000A0093">
        <w:rPr>
          <w:bCs/>
          <w:color w:val="000000" w:themeColor="text1"/>
        </w:rPr>
        <w:t xml:space="preserve">hariç olmak </w:t>
      </w:r>
      <w:proofErr w:type="spellStart"/>
      <w:proofErr w:type="gramStart"/>
      <w:r w:rsidR="001F4A1B" w:rsidRPr="000A0093">
        <w:rPr>
          <w:bCs/>
          <w:color w:val="000000" w:themeColor="text1"/>
        </w:rPr>
        <w:t>üzere</w:t>
      </w:r>
      <w:r w:rsidR="00290AA4" w:rsidRPr="000A0093">
        <w:rPr>
          <w:bCs/>
          <w:color w:val="000000" w:themeColor="text1"/>
        </w:rPr>
        <w:t>,</w:t>
      </w:r>
      <w:r w:rsidRPr="000A0093">
        <w:rPr>
          <w:bCs/>
          <w:color w:val="000000" w:themeColor="text1"/>
        </w:rPr>
        <w:t>toplamda</w:t>
      </w:r>
      <w:proofErr w:type="spellEnd"/>
      <w:proofErr w:type="gramEnd"/>
      <w:r w:rsidRPr="000A0093">
        <w:rPr>
          <w:bCs/>
          <w:color w:val="000000" w:themeColor="text1"/>
        </w:rPr>
        <w:t xml:space="preserve"> </w:t>
      </w:r>
      <w:r w:rsidR="001F4A1B" w:rsidRPr="000A0093">
        <w:rPr>
          <w:bCs/>
          <w:color w:val="000000" w:themeColor="text1"/>
        </w:rPr>
        <w:t xml:space="preserve">kuruluşlara ulaşan </w:t>
      </w:r>
      <w:r w:rsidR="003C3E88">
        <w:rPr>
          <w:bCs/>
          <w:color w:val="000000" w:themeColor="text1"/>
        </w:rPr>
        <w:t>5.469</w:t>
      </w:r>
      <w:r w:rsidR="0053638A">
        <w:rPr>
          <w:bCs/>
          <w:color w:val="000000" w:themeColor="text1"/>
        </w:rPr>
        <w:t xml:space="preserve"> </w:t>
      </w:r>
      <w:r w:rsidR="001E1BBD" w:rsidRPr="000A0093">
        <w:rPr>
          <w:bCs/>
          <w:color w:val="000000" w:themeColor="text1"/>
        </w:rPr>
        <w:t>şikâyet</w:t>
      </w:r>
      <w:r w:rsidRPr="000A0093">
        <w:rPr>
          <w:bCs/>
          <w:color w:val="000000" w:themeColor="text1"/>
        </w:rPr>
        <w:t xml:space="preserve"> içerisinden yal</w:t>
      </w:r>
      <w:r w:rsidR="000B02E8" w:rsidRPr="000A0093">
        <w:rPr>
          <w:bCs/>
          <w:color w:val="000000" w:themeColor="text1"/>
        </w:rPr>
        <w:t xml:space="preserve">nızca </w:t>
      </w:r>
      <w:r w:rsidR="00EB189F">
        <w:rPr>
          <w:bCs/>
          <w:color w:val="000000" w:themeColor="text1"/>
        </w:rPr>
        <w:t>1</w:t>
      </w:r>
      <w:r w:rsidR="003C3E88">
        <w:rPr>
          <w:bCs/>
          <w:color w:val="000000" w:themeColor="text1"/>
        </w:rPr>
        <w:t>0’unun</w:t>
      </w:r>
      <w:r w:rsidR="000B02E8">
        <w:rPr>
          <w:bCs/>
          <w:color w:val="000000" w:themeColor="text1"/>
        </w:rPr>
        <w:t xml:space="preserve"> tüketici örgütlerinden alınmış </w:t>
      </w:r>
      <w:r w:rsidRPr="002B5C42">
        <w:rPr>
          <w:bCs/>
          <w:color w:val="000000" w:themeColor="text1"/>
        </w:rPr>
        <w:t xml:space="preserve">olması son derece düşündürücüdür. </w:t>
      </w:r>
      <w:r w:rsidR="00EB189F">
        <w:rPr>
          <w:bCs/>
          <w:color w:val="000000" w:themeColor="text1"/>
        </w:rPr>
        <w:t>Bu şikayetlerin</w:t>
      </w:r>
      <w:r w:rsidR="003C3E88">
        <w:rPr>
          <w:bCs/>
          <w:color w:val="000000" w:themeColor="text1"/>
        </w:rPr>
        <w:t>7</w:t>
      </w:r>
      <w:r w:rsidR="00EB189F">
        <w:rPr>
          <w:bCs/>
          <w:color w:val="000000" w:themeColor="text1"/>
        </w:rPr>
        <w:t>’</w:t>
      </w:r>
      <w:r w:rsidR="003C3E88">
        <w:rPr>
          <w:bCs/>
          <w:color w:val="000000" w:themeColor="text1"/>
        </w:rPr>
        <w:t>s</w:t>
      </w:r>
      <w:r w:rsidR="00EB189F">
        <w:rPr>
          <w:bCs/>
          <w:color w:val="000000" w:themeColor="text1"/>
        </w:rPr>
        <w:t>i</w:t>
      </w:r>
      <w:r w:rsidR="00C84E5E">
        <w:rPr>
          <w:bCs/>
          <w:color w:val="000000" w:themeColor="text1"/>
        </w:rPr>
        <w:t xml:space="preserve"> tıbbi cihaz</w:t>
      </w:r>
      <w:r w:rsidR="003C3E88">
        <w:rPr>
          <w:bCs/>
          <w:color w:val="000000" w:themeColor="text1"/>
        </w:rPr>
        <w:t xml:space="preserve">lar, 1’i elektrikli </w:t>
      </w:r>
      <w:proofErr w:type="gramStart"/>
      <w:r w:rsidR="003C3E88">
        <w:rPr>
          <w:bCs/>
          <w:color w:val="000000" w:themeColor="text1"/>
        </w:rPr>
        <w:t>ekipmanlar</w:t>
      </w:r>
      <w:proofErr w:type="gramEnd"/>
      <w:r w:rsidR="003C3E88">
        <w:rPr>
          <w:bCs/>
          <w:color w:val="000000" w:themeColor="text1"/>
        </w:rPr>
        <w:t xml:space="preserve"> ve 2’si kozmetikler</w:t>
      </w:r>
      <w:r w:rsidR="00C84E5E">
        <w:rPr>
          <w:bCs/>
          <w:color w:val="000000" w:themeColor="text1"/>
        </w:rPr>
        <w:t xml:space="preserve"> ürün grubuna ilişkindir. </w:t>
      </w:r>
      <w:r w:rsidR="00C84E5E" w:rsidRPr="0099330E">
        <w:rPr>
          <w:bCs/>
          <w:color w:val="000000" w:themeColor="text1"/>
        </w:rPr>
        <w:t>Diğer taraftan oyuncaklar</w:t>
      </w:r>
      <w:r w:rsidR="00C84E5E">
        <w:rPr>
          <w:bCs/>
          <w:color w:val="000000" w:themeColor="text1"/>
        </w:rPr>
        <w:t xml:space="preserve">, </w:t>
      </w:r>
      <w:proofErr w:type="spellStart"/>
      <w:proofErr w:type="gramStart"/>
      <w:r w:rsidR="00C84E5E">
        <w:rPr>
          <w:bCs/>
          <w:color w:val="000000" w:themeColor="text1"/>
        </w:rPr>
        <w:t>tekstil,kırtasiye</w:t>
      </w:r>
      <w:proofErr w:type="spellEnd"/>
      <w:proofErr w:type="gramEnd"/>
      <w:r w:rsidR="00C84E5E">
        <w:rPr>
          <w:bCs/>
          <w:color w:val="000000" w:themeColor="text1"/>
        </w:rPr>
        <w:t xml:space="preserve"> ve çocuk bakım ürünleri gibi doğrudan tüketicilerin kullanımına sunulan riskli ürünlere ilişkin PGD faaliyetlerini yürütmekte olan </w:t>
      </w:r>
      <w:proofErr w:type="spellStart"/>
      <w:r w:rsidR="0099330E">
        <w:rPr>
          <w:bCs/>
          <w:color w:val="000000" w:themeColor="text1"/>
        </w:rPr>
        <w:t>TK</w:t>
      </w:r>
      <w:r w:rsidR="003C3E88">
        <w:rPr>
          <w:bCs/>
          <w:color w:val="000000" w:themeColor="text1"/>
        </w:rPr>
        <w:t>PG</w:t>
      </w:r>
      <w:r w:rsidR="0099330E">
        <w:rPr>
          <w:bCs/>
          <w:color w:val="000000" w:themeColor="text1"/>
        </w:rPr>
        <w:t>GM</w:t>
      </w:r>
      <w:r w:rsidR="00C84E5E">
        <w:rPr>
          <w:bCs/>
          <w:color w:val="000000" w:themeColor="text1"/>
        </w:rPr>
        <w:t>’ye</w:t>
      </w:r>
      <w:proofErr w:type="spellEnd"/>
      <w:r w:rsidR="00C84E5E">
        <w:rPr>
          <w:bCs/>
          <w:color w:val="000000" w:themeColor="text1"/>
        </w:rPr>
        <w:t xml:space="preserve"> tüketici örgütlerinden herhangi bir şikayet/ihbar ulaşmamış olması dikkat çekicidir. Bilindiği üzere t</w:t>
      </w:r>
      <w:r w:rsidRPr="002B5C42">
        <w:rPr>
          <w:bCs/>
          <w:color w:val="000000" w:themeColor="text1"/>
        </w:rPr>
        <w:t>üketiciler, PGD faaliyetlerinin temel yararlanıcıları olup, bu faaliyetlere destekler</w:t>
      </w:r>
      <w:r w:rsidR="004B7099">
        <w:rPr>
          <w:bCs/>
          <w:color w:val="000000" w:themeColor="text1"/>
        </w:rPr>
        <w:t>i</w:t>
      </w:r>
      <w:r w:rsidRPr="002B5C42">
        <w:rPr>
          <w:bCs/>
          <w:color w:val="000000" w:themeColor="text1"/>
        </w:rPr>
        <w:t xml:space="preserve"> son derece önem taşımaktadır. Ülkemiz tüketici örgütlerinin bu alanda tüketicilere yardımcı olarak </w:t>
      </w:r>
      <w:r w:rsidR="004B7099" w:rsidRPr="002B5C42">
        <w:rPr>
          <w:bCs/>
          <w:color w:val="000000" w:themeColor="text1"/>
        </w:rPr>
        <w:t>şikâyetlerin</w:t>
      </w:r>
      <w:r w:rsidRPr="002B5C42">
        <w:rPr>
          <w:bCs/>
          <w:color w:val="000000" w:themeColor="text1"/>
        </w:rPr>
        <w:t xml:space="preserve"> ilgililere ulaştırılması aşamasında önemli rol oynamaları beklenmektedir. </w:t>
      </w:r>
    </w:p>
    <w:p w:rsidR="00590827" w:rsidRPr="009218CB" w:rsidRDefault="0096169B" w:rsidP="00BE41A3">
      <w:pPr>
        <w:autoSpaceDE w:val="0"/>
        <w:autoSpaceDN w:val="0"/>
        <w:adjustRightInd w:val="0"/>
        <w:spacing w:after="240"/>
        <w:ind w:firstLine="709"/>
        <w:jc w:val="both"/>
        <w:rPr>
          <w:bCs/>
          <w:color w:val="000000" w:themeColor="text1"/>
        </w:rPr>
      </w:pPr>
      <w:r w:rsidRPr="002B5C42">
        <w:rPr>
          <w:bCs/>
          <w:color w:val="000000" w:themeColor="text1"/>
        </w:rPr>
        <w:lastRenderedPageBreak/>
        <w:t xml:space="preserve">Bu veriler, kamuoyunda şikâyet mekanizmalarının varlığıyla ilgili bilgi seviyesinin ve tüketicilerin ürün güvenliğine dair farkındalığının arttırılmasının önemini açıkça göstermektedir. </w:t>
      </w:r>
      <w:r w:rsidR="00581192" w:rsidRPr="002B5C42">
        <w:rPr>
          <w:bCs/>
          <w:color w:val="000000" w:themeColor="text1"/>
        </w:rPr>
        <w:t xml:space="preserve">Her geçen yıl bu farkındalığın daha da arttığı görülmekle birlikte, </w:t>
      </w:r>
      <w:r w:rsidRPr="002B5C42">
        <w:rPr>
          <w:bCs/>
          <w:color w:val="000000" w:themeColor="text1"/>
        </w:rPr>
        <w:t>şikâyetlerin denetimleri daha etkin bir şekilde yönlendirmesi için sektörün ve tüketici derneklerinin mevcut şikâyet mekanizmaları hakkında bilgilendirilmeleri</w:t>
      </w:r>
      <w:r w:rsidR="00581192" w:rsidRPr="002B5C42">
        <w:rPr>
          <w:bCs/>
          <w:color w:val="000000" w:themeColor="text1"/>
        </w:rPr>
        <w:t xml:space="preserve">ne </w:t>
      </w:r>
      <w:r w:rsidRPr="002B5C42">
        <w:rPr>
          <w:bCs/>
          <w:color w:val="000000" w:themeColor="text1"/>
        </w:rPr>
        <w:t xml:space="preserve">ve </w:t>
      </w:r>
      <w:r w:rsidRPr="009218CB">
        <w:rPr>
          <w:bCs/>
          <w:color w:val="000000" w:themeColor="text1"/>
        </w:rPr>
        <w:t xml:space="preserve">bu mekanizmaları kullanarak şikâyetleri iletmek konusunda teşvik </w:t>
      </w:r>
      <w:proofErr w:type="spellStart"/>
      <w:r w:rsidRPr="009218CB">
        <w:rPr>
          <w:bCs/>
          <w:color w:val="000000" w:themeColor="text1"/>
        </w:rPr>
        <w:t>edilmeleri</w:t>
      </w:r>
      <w:r w:rsidR="00581192" w:rsidRPr="009218CB">
        <w:rPr>
          <w:bCs/>
          <w:color w:val="000000" w:themeColor="text1"/>
        </w:rPr>
        <w:t>neilişkin</w:t>
      </w:r>
      <w:proofErr w:type="spellEnd"/>
      <w:r w:rsidR="00581192" w:rsidRPr="009218CB">
        <w:rPr>
          <w:bCs/>
          <w:color w:val="000000" w:themeColor="text1"/>
        </w:rPr>
        <w:t xml:space="preserve"> çalışmaların sürdürülmesi gerektiği değerlendirilmektedir.</w:t>
      </w:r>
      <w:r w:rsidR="00C84E5E" w:rsidRPr="009218CB">
        <w:rPr>
          <w:bCs/>
          <w:color w:val="000000" w:themeColor="text1"/>
        </w:rPr>
        <w:t xml:space="preserve"> Bu kapsamda </w:t>
      </w:r>
      <w:r w:rsidR="009218CB" w:rsidRPr="009218CB">
        <w:rPr>
          <w:bCs/>
          <w:color w:val="000000" w:themeColor="text1"/>
        </w:rPr>
        <w:t>TB</w:t>
      </w:r>
      <w:r w:rsidR="00C84E5E" w:rsidRPr="009218CB">
        <w:rPr>
          <w:bCs/>
          <w:color w:val="000000" w:themeColor="text1"/>
        </w:rPr>
        <w:t xml:space="preserve"> tarafından 2018 yılı</w:t>
      </w:r>
      <w:r w:rsidR="009218CB" w:rsidRPr="009218CB">
        <w:rPr>
          <w:bCs/>
          <w:color w:val="000000" w:themeColor="text1"/>
        </w:rPr>
        <w:t xml:space="preserve"> Ekim ayında</w:t>
      </w:r>
      <w:r w:rsidR="00C84E5E" w:rsidRPr="009218CB">
        <w:rPr>
          <w:bCs/>
          <w:color w:val="000000" w:themeColor="text1"/>
        </w:rPr>
        <w:t xml:space="preserve"> hayata </w:t>
      </w:r>
      <w:proofErr w:type="spellStart"/>
      <w:r w:rsidR="00C84E5E" w:rsidRPr="009218CB">
        <w:rPr>
          <w:bCs/>
          <w:color w:val="000000" w:themeColor="text1"/>
        </w:rPr>
        <w:t>geçirile</w:t>
      </w:r>
      <w:r w:rsidR="009218CB" w:rsidRPr="009218CB">
        <w:rPr>
          <w:bCs/>
          <w:color w:val="000000" w:themeColor="text1"/>
        </w:rPr>
        <w:t>n</w:t>
      </w:r>
      <w:r w:rsidR="002816E6" w:rsidRPr="009218CB">
        <w:t>“Ürün</w:t>
      </w:r>
      <w:proofErr w:type="spellEnd"/>
      <w:r w:rsidR="002816E6" w:rsidRPr="009218CB">
        <w:t xml:space="preserve"> Güvenliği, Piyasa Gözetimi ve Denetimi ile Uygunluk Değerlendirmesi Alanlarında Farkındalığın Arttırılması İçin Teknik Destek” başlıklı proje ile bu alanda önemli sonuçlar elde edilebileceği değerlendirilmektedir.</w:t>
      </w:r>
    </w:p>
    <w:p w:rsidR="0020539C" w:rsidRDefault="002816E6" w:rsidP="00BE41A3">
      <w:pPr>
        <w:autoSpaceDE w:val="0"/>
        <w:autoSpaceDN w:val="0"/>
        <w:adjustRightInd w:val="0"/>
        <w:spacing w:after="240"/>
        <w:ind w:firstLine="709"/>
        <w:jc w:val="both"/>
        <w:rPr>
          <w:bCs/>
          <w:color w:val="000000" w:themeColor="text1"/>
        </w:rPr>
      </w:pPr>
      <w:r w:rsidRPr="009218CB">
        <w:rPr>
          <w:bCs/>
          <w:color w:val="000000" w:themeColor="text1"/>
        </w:rPr>
        <w:t>Diğer taraftan</w:t>
      </w:r>
      <w:r w:rsidR="00590827" w:rsidRPr="009218CB">
        <w:rPr>
          <w:bCs/>
          <w:color w:val="000000" w:themeColor="text1"/>
        </w:rPr>
        <w:t>, tüketicilerin kuruluşlara hızlı bir biçimde ulaşmasını sağlayacak olan Alo 174 gibi telefon hatlarının ve internet sitelerinin önemi büyüktür. PGD kuruluş</w:t>
      </w:r>
      <w:r w:rsidR="00364B76" w:rsidRPr="009218CB">
        <w:rPr>
          <w:bCs/>
          <w:color w:val="000000" w:themeColor="text1"/>
        </w:rPr>
        <w:t xml:space="preserve">larına </w:t>
      </w:r>
      <w:r w:rsidR="000A1E98" w:rsidRPr="009218CB">
        <w:rPr>
          <w:bCs/>
          <w:color w:val="000000" w:themeColor="text1"/>
        </w:rPr>
        <w:t>ait yardım</w:t>
      </w:r>
      <w:r w:rsidR="00590827" w:rsidRPr="009218CB">
        <w:rPr>
          <w:bCs/>
          <w:color w:val="000000" w:themeColor="text1"/>
        </w:rPr>
        <w:t xml:space="preserve"> ve </w:t>
      </w:r>
      <w:r w:rsidR="000A1E98" w:rsidRPr="009218CB">
        <w:rPr>
          <w:bCs/>
          <w:color w:val="000000" w:themeColor="text1"/>
        </w:rPr>
        <w:t>şikâyet</w:t>
      </w:r>
      <w:r w:rsidR="00590827" w:rsidRPr="009218CB">
        <w:rPr>
          <w:bCs/>
          <w:color w:val="000000" w:themeColor="text1"/>
        </w:rPr>
        <w:t xml:space="preserve"> hatlarına ilişkin bilgiler </w:t>
      </w:r>
      <w:r w:rsidR="00364B76" w:rsidRPr="009218CB">
        <w:rPr>
          <w:bCs/>
          <w:color w:val="000000" w:themeColor="text1"/>
        </w:rPr>
        <w:t xml:space="preserve">EK-1’de yer almakta </w:t>
      </w:r>
      <w:r w:rsidR="00590827" w:rsidRPr="009218CB">
        <w:rPr>
          <w:bCs/>
          <w:color w:val="000000" w:themeColor="text1"/>
        </w:rPr>
        <w:t xml:space="preserve">olup, bu </w:t>
      </w:r>
      <w:r w:rsidR="000A1E98" w:rsidRPr="009218CB">
        <w:rPr>
          <w:bCs/>
          <w:color w:val="000000" w:themeColor="text1"/>
        </w:rPr>
        <w:t>imkânlar</w:t>
      </w:r>
      <w:r w:rsidR="00590827" w:rsidRPr="009218CB">
        <w:rPr>
          <w:bCs/>
          <w:color w:val="000000" w:themeColor="text1"/>
        </w:rPr>
        <w:t xml:space="preserve"> hakkında tüm paydaşların bilgilendirilmesine ilişkin çalışmalar yapılması elzemdir.</w:t>
      </w:r>
    </w:p>
    <w:p w:rsidR="0096169B" w:rsidRPr="000554FC" w:rsidRDefault="0096169B" w:rsidP="009525F6">
      <w:pPr>
        <w:pStyle w:val="Balk2"/>
        <w:numPr>
          <w:ilvl w:val="0"/>
          <w:numId w:val="17"/>
        </w:numPr>
        <w:ind w:left="708" w:firstLine="0"/>
      </w:pPr>
      <w:bookmarkStart w:id="8" w:name="_Toc4892862"/>
      <w:r w:rsidRPr="000554FC">
        <w:t>İNTERNET SATIŞLARINA YÖNELİK DENETİMLER</w:t>
      </w:r>
      <w:bookmarkEnd w:id="8"/>
    </w:p>
    <w:p w:rsidR="0096169B" w:rsidRPr="000554FC" w:rsidRDefault="009734B8" w:rsidP="00BE41A3">
      <w:pPr>
        <w:tabs>
          <w:tab w:val="left" w:pos="2490"/>
        </w:tabs>
        <w:ind w:firstLine="709"/>
        <w:rPr>
          <w:color w:val="000000" w:themeColor="text1"/>
        </w:rPr>
      </w:pPr>
      <w:r>
        <w:rPr>
          <w:color w:val="000000" w:themeColor="text1"/>
        </w:rPr>
        <w:tab/>
      </w:r>
    </w:p>
    <w:p w:rsidR="004B4419" w:rsidRDefault="004B4419" w:rsidP="00BE41A3">
      <w:pPr>
        <w:autoSpaceDE w:val="0"/>
        <w:autoSpaceDN w:val="0"/>
        <w:adjustRightInd w:val="0"/>
        <w:spacing w:after="240"/>
        <w:ind w:firstLine="709"/>
        <w:jc w:val="both"/>
      </w:pPr>
      <w:r w:rsidRPr="00B43442">
        <w:t>İnternetin gelişmesi ve yaygınlaşması ile klasik piyasalardan farklı dinamiklere ve kurallara sahip elektronik bir piyasa oluşmuştur. Öncelikle fiziki sınırlar kalkmış, küresel piyasalara arz edilen pek çok ürüne erişim imkânı doğmuştur. Bununla birlikte daha ucuza ve istenilen yerde/zamanda/araçla alma ile kişiselleştirilmiş hizmet alabilmek mümkün hale gelmiştir. Böylece bu sanal piyasalarda gerçekleşen ticari faaliyetler, diğer bir deyişle elektronik ticaret (e-ticaret) de giderek artan bir şekilde tercih edilmeye başlanmıştır</w:t>
      </w:r>
      <w:r w:rsidR="00530905" w:rsidRPr="00B43442">
        <w:t>.</w:t>
      </w:r>
    </w:p>
    <w:p w:rsidR="004B4419" w:rsidRDefault="004B4419" w:rsidP="00BE41A3">
      <w:pPr>
        <w:autoSpaceDE w:val="0"/>
        <w:autoSpaceDN w:val="0"/>
        <w:adjustRightInd w:val="0"/>
        <w:spacing w:after="240"/>
        <w:ind w:firstLine="709"/>
        <w:jc w:val="both"/>
        <w:rPr>
          <w:bCs/>
          <w:color w:val="000000" w:themeColor="text1"/>
        </w:rPr>
      </w:pPr>
      <w:r w:rsidRPr="006B22FE">
        <w:t xml:space="preserve">E-ticaretin gösterdiği bu büyümenin temelinde, tüketiciye sağladığı fırsatlar yatmaktadır. Fakat e- ticaret bu fırsatların yanı sıra ticarete konu alanlarda normal kabul edilen koşullarda ve kurallarda köklü değişimlere neden olmuştur. Bu nedenle, e-ticaretin yeni teknolojinin sonucu olan bir satış kanalı veya bir mağaza olarak değerlendirilmemesi gerekir. Tersine e- ticaret yeni bir satış kanalı olmaktan uzak, farklı bir tedarik zincirine sahip, sınırları </w:t>
      </w:r>
      <w:proofErr w:type="spellStart"/>
      <w:proofErr w:type="gramStart"/>
      <w:r w:rsidRPr="006B22FE">
        <w:t>olmayan</w:t>
      </w:r>
      <w:r w:rsidR="00267791">
        <w:t>;</w:t>
      </w:r>
      <w:r>
        <w:t>dolayısıyla</w:t>
      </w:r>
      <w:proofErr w:type="spellEnd"/>
      <w:proofErr w:type="gramEnd"/>
      <w:r w:rsidRPr="006B22FE">
        <w:t xml:space="preserve"> </w:t>
      </w:r>
      <w:proofErr w:type="spellStart"/>
      <w:r w:rsidRPr="006B22FE">
        <w:t>denetimiçok</w:t>
      </w:r>
      <w:proofErr w:type="spellEnd"/>
      <w:r w:rsidRPr="006B22FE">
        <w:t xml:space="preserve"> da kolay olmayan yeni bir ticaret biçimidir.</w:t>
      </w:r>
    </w:p>
    <w:p w:rsidR="004B4419" w:rsidRDefault="004B4419" w:rsidP="00BE41A3">
      <w:pPr>
        <w:ind w:firstLine="709"/>
        <w:jc w:val="both"/>
      </w:pPr>
      <w:r w:rsidRPr="006B22FE">
        <w:t xml:space="preserve">Henüz tam olarak denetim altına alınmamış olan bu elektronik pazar, ürünlerin güvenliğine ilişkin denetimlerin etkin bir biçimde gerçekleştirilmemesi </w:t>
      </w:r>
      <w:r>
        <w:t>durumunda</w:t>
      </w:r>
      <w:r w:rsidRPr="006B22FE">
        <w:t xml:space="preserve"> tüketiciler </w:t>
      </w:r>
      <w:r>
        <w:t xml:space="preserve">için </w:t>
      </w:r>
      <w:r w:rsidRPr="006B22FE">
        <w:t xml:space="preserve">doğrudan </w:t>
      </w:r>
      <w:r>
        <w:t xml:space="preserve">bir </w:t>
      </w:r>
      <w:r w:rsidRPr="006B22FE">
        <w:t xml:space="preserve">tehdit </w:t>
      </w:r>
      <w:r>
        <w:t xml:space="preserve">oluşturabilecek </w:t>
      </w:r>
      <w:r w:rsidRPr="006B22FE">
        <w:t xml:space="preserve">ve </w:t>
      </w:r>
      <w:r>
        <w:t>iktisadi işletmeciler</w:t>
      </w:r>
      <w:r w:rsidRPr="006B22FE">
        <w:t xml:space="preserve"> arasında haksız rekabete </w:t>
      </w:r>
      <w:r>
        <w:t>neden olabilecektir.</w:t>
      </w:r>
      <w:r w:rsidRPr="006B22FE">
        <w:t xml:space="preserve"> Bu nedenle, temel </w:t>
      </w:r>
      <w:proofErr w:type="spellStart"/>
      <w:r w:rsidRPr="006B22FE">
        <w:t>amacı;“</w:t>
      </w:r>
      <w:r w:rsidRPr="006B22FE">
        <w:rPr>
          <w:i/>
        </w:rPr>
        <w:t>tüketicilerin</w:t>
      </w:r>
      <w:proofErr w:type="spellEnd"/>
      <w:r w:rsidRPr="006B22FE">
        <w:rPr>
          <w:i/>
        </w:rPr>
        <w:t xml:space="preserve"> tehlikeli ürünlerden korunması ve ekonomik operatörlerin piyasaya mevzuata uygun ve güvenli ürünlerin arz edilmesi ile ilgili yasal yükümlülüklerini yerine getirmesi</w:t>
      </w:r>
      <w:r w:rsidRPr="006B22FE">
        <w:t xml:space="preserve">” olan PGD faaliyetlerinin elektronik ortamda </w:t>
      </w:r>
      <w:r>
        <w:t xml:space="preserve">ticareti gerçekleştirilen ürünlerde </w:t>
      </w:r>
      <w:r w:rsidRPr="006B22FE">
        <w:t>etkin bir şekilde sürdürülebilmesi önem arz etmektedir.</w:t>
      </w:r>
    </w:p>
    <w:p w:rsidR="004B4419" w:rsidRPr="006B22FE" w:rsidRDefault="004B4419" w:rsidP="00BE41A3">
      <w:pPr>
        <w:ind w:firstLine="709"/>
        <w:jc w:val="both"/>
      </w:pPr>
    </w:p>
    <w:p w:rsidR="0051013E" w:rsidRDefault="00A55452" w:rsidP="008C34FE">
      <w:pPr>
        <w:autoSpaceDE w:val="0"/>
        <w:autoSpaceDN w:val="0"/>
        <w:adjustRightInd w:val="0"/>
        <w:spacing w:after="240"/>
        <w:ind w:firstLine="709"/>
        <w:jc w:val="both"/>
        <w:rPr>
          <w:bCs/>
          <w:color w:val="000000" w:themeColor="text1"/>
        </w:rPr>
      </w:pPr>
      <w:r>
        <w:rPr>
          <w:bCs/>
          <w:color w:val="000000" w:themeColor="text1"/>
        </w:rPr>
        <w:t>201</w:t>
      </w:r>
      <w:r w:rsidR="0051013E">
        <w:rPr>
          <w:bCs/>
          <w:color w:val="000000" w:themeColor="text1"/>
        </w:rPr>
        <w:t>8</w:t>
      </w:r>
      <w:r>
        <w:rPr>
          <w:bCs/>
          <w:color w:val="000000" w:themeColor="text1"/>
        </w:rPr>
        <w:t xml:space="preserve"> yılında </w:t>
      </w:r>
      <w:r w:rsidR="001B091A">
        <w:rPr>
          <w:bCs/>
          <w:color w:val="000000" w:themeColor="text1"/>
        </w:rPr>
        <w:t xml:space="preserve">internet üzerinden </w:t>
      </w:r>
      <w:r w:rsidR="00590827">
        <w:rPr>
          <w:bCs/>
          <w:color w:val="000000" w:themeColor="text1"/>
        </w:rPr>
        <w:t>yapılan satışlara</w:t>
      </w:r>
      <w:r w:rsidR="001B091A">
        <w:rPr>
          <w:bCs/>
          <w:color w:val="000000" w:themeColor="text1"/>
        </w:rPr>
        <w:t xml:space="preserve"> yönelik denetim gerçekleştirdiğini beyan ederek veri sağ</w:t>
      </w:r>
      <w:r>
        <w:rPr>
          <w:bCs/>
          <w:color w:val="000000" w:themeColor="text1"/>
        </w:rPr>
        <w:t>layan kuruluş</w:t>
      </w:r>
      <w:r w:rsidR="0051013E">
        <w:rPr>
          <w:bCs/>
          <w:color w:val="000000" w:themeColor="text1"/>
        </w:rPr>
        <w:t>lar</w:t>
      </w:r>
      <w:r w:rsidR="0053638A">
        <w:rPr>
          <w:bCs/>
          <w:color w:val="000000" w:themeColor="text1"/>
        </w:rPr>
        <w:t xml:space="preserve"> </w:t>
      </w:r>
      <w:proofErr w:type="spellStart"/>
      <w:r>
        <w:rPr>
          <w:bCs/>
          <w:color w:val="000000" w:themeColor="text1"/>
        </w:rPr>
        <w:t>SB</w:t>
      </w:r>
      <w:r w:rsidR="0051013E">
        <w:rPr>
          <w:bCs/>
          <w:color w:val="000000" w:themeColor="text1"/>
        </w:rPr>
        <w:t>’nin</w:t>
      </w:r>
      <w:proofErr w:type="spellEnd"/>
      <w:r w:rsidR="0053638A">
        <w:rPr>
          <w:bCs/>
          <w:color w:val="000000" w:themeColor="text1"/>
        </w:rPr>
        <w:t xml:space="preserve"> yanı sıra </w:t>
      </w:r>
      <w:r w:rsidR="0051013E">
        <w:rPr>
          <w:bCs/>
          <w:color w:val="000000" w:themeColor="text1"/>
        </w:rPr>
        <w:t xml:space="preserve">BTK </w:t>
      </w:r>
      <w:r>
        <w:rPr>
          <w:bCs/>
          <w:color w:val="000000" w:themeColor="text1"/>
        </w:rPr>
        <w:t xml:space="preserve">olmasına rağmen, </w:t>
      </w:r>
      <w:r w:rsidR="0051013E">
        <w:rPr>
          <w:bCs/>
          <w:color w:val="000000" w:themeColor="text1"/>
        </w:rPr>
        <w:t>2019</w:t>
      </w:r>
      <w:r>
        <w:rPr>
          <w:bCs/>
          <w:color w:val="000000" w:themeColor="text1"/>
        </w:rPr>
        <w:t xml:space="preserve"> yılında</w:t>
      </w:r>
      <w:r w:rsidR="0051013E">
        <w:rPr>
          <w:bCs/>
          <w:color w:val="000000" w:themeColor="text1"/>
        </w:rPr>
        <w:t xml:space="preserve"> veri sağlayan tek kuruluş</w:t>
      </w:r>
      <w:r>
        <w:rPr>
          <w:bCs/>
          <w:color w:val="000000" w:themeColor="text1"/>
        </w:rPr>
        <w:t xml:space="preserve"> SB</w:t>
      </w:r>
      <w:r w:rsidR="0051013E">
        <w:rPr>
          <w:bCs/>
          <w:color w:val="000000" w:themeColor="text1"/>
        </w:rPr>
        <w:t xml:space="preserve"> olmuştur. </w:t>
      </w:r>
    </w:p>
    <w:p w:rsidR="00F46238" w:rsidRDefault="008C34FE" w:rsidP="00F46238">
      <w:pPr>
        <w:autoSpaceDE w:val="0"/>
        <w:autoSpaceDN w:val="0"/>
        <w:adjustRightInd w:val="0"/>
        <w:spacing w:after="240"/>
        <w:ind w:firstLine="709"/>
        <w:jc w:val="both"/>
        <w:rPr>
          <w:bCs/>
          <w:color w:val="000000" w:themeColor="text1"/>
        </w:rPr>
      </w:pPr>
      <w:r>
        <w:rPr>
          <w:bCs/>
          <w:color w:val="000000" w:themeColor="text1"/>
        </w:rPr>
        <w:t xml:space="preserve">TOB tarafından, </w:t>
      </w:r>
      <w:proofErr w:type="spellStart"/>
      <w:r w:rsidR="00F46238">
        <w:rPr>
          <w:bCs/>
          <w:color w:val="000000" w:themeColor="text1"/>
        </w:rPr>
        <w:t>nargilelik</w:t>
      </w:r>
      <w:proofErr w:type="spellEnd"/>
      <w:r w:rsidR="00F46238">
        <w:rPr>
          <w:bCs/>
          <w:color w:val="000000" w:themeColor="text1"/>
        </w:rPr>
        <w:t xml:space="preserve"> tütün </w:t>
      </w:r>
      <w:proofErr w:type="spellStart"/>
      <w:r w:rsidR="00F46238">
        <w:rPr>
          <w:bCs/>
          <w:color w:val="000000" w:themeColor="text1"/>
        </w:rPr>
        <w:t>mamülü</w:t>
      </w:r>
      <w:proofErr w:type="spellEnd"/>
      <w:r w:rsidR="00F46238">
        <w:rPr>
          <w:bCs/>
          <w:color w:val="000000" w:themeColor="text1"/>
        </w:rPr>
        <w:t xml:space="preserve">, sarmalık kıyılmış tütün </w:t>
      </w:r>
      <w:proofErr w:type="spellStart"/>
      <w:r w:rsidR="00F46238">
        <w:rPr>
          <w:bCs/>
          <w:color w:val="000000" w:themeColor="text1"/>
        </w:rPr>
        <w:t>mamülü</w:t>
      </w:r>
      <w:proofErr w:type="spellEnd"/>
      <w:r w:rsidR="00F46238">
        <w:rPr>
          <w:bCs/>
          <w:color w:val="000000" w:themeColor="text1"/>
        </w:rPr>
        <w:t xml:space="preserve"> ile puro ve </w:t>
      </w:r>
      <w:proofErr w:type="spellStart"/>
      <w:r w:rsidR="00F46238">
        <w:rPr>
          <w:bCs/>
          <w:color w:val="000000" w:themeColor="text1"/>
        </w:rPr>
        <w:t>sigarillo</w:t>
      </w:r>
      <w:proofErr w:type="spellEnd"/>
      <w:r w:rsidR="00F46238">
        <w:rPr>
          <w:bCs/>
          <w:color w:val="000000" w:themeColor="text1"/>
        </w:rPr>
        <w:t xml:space="preserve"> ürün gruplarının internet satışının yasak olduğu </w:t>
      </w:r>
      <w:r>
        <w:rPr>
          <w:bCs/>
          <w:color w:val="000000" w:themeColor="text1"/>
        </w:rPr>
        <w:t>ifade edilmiştir.</w:t>
      </w:r>
    </w:p>
    <w:p w:rsidR="00F46238" w:rsidRDefault="00F46238" w:rsidP="00F46238">
      <w:pPr>
        <w:autoSpaceDE w:val="0"/>
        <w:autoSpaceDN w:val="0"/>
        <w:adjustRightInd w:val="0"/>
        <w:spacing w:after="240"/>
        <w:ind w:firstLine="709"/>
        <w:jc w:val="both"/>
        <w:rPr>
          <w:bCs/>
          <w:color w:val="000000" w:themeColor="text1"/>
        </w:rPr>
      </w:pPr>
      <w:r>
        <w:rPr>
          <w:bCs/>
          <w:color w:val="000000" w:themeColor="text1"/>
        </w:rPr>
        <w:t>UAB tarafından, gezi tekneleri ürün grubunda i</w:t>
      </w:r>
      <w:r w:rsidRPr="00F46238">
        <w:rPr>
          <w:bCs/>
          <w:color w:val="000000" w:themeColor="text1"/>
        </w:rPr>
        <w:t>nternet satışlarına yönelik bir denetim gerçekleştirilme</w:t>
      </w:r>
      <w:r>
        <w:rPr>
          <w:bCs/>
          <w:color w:val="000000" w:themeColor="text1"/>
        </w:rPr>
        <w:t>diği ve t</w:t>
      </w:r>
      <w:r w:rsidRPr="00F46238">
        <w:rPr>
          <w:bCs/>
          <w:color w:val="000000" w:themeColor="text1"/>
        </w:rPr>
        <w:t>üm tekneler</w:t>
      </w:r>
      <w:r>
        <w:rPr>
          <w:bCs/>
          <w:color w:val="000000" w:themeColor="text1"/>
        </w:rPr>
        <w:t>in</w:t>
      </w:r>
      <w:r w:rsidRPr="00F46238">
        <w:rPr>
          <w:bCs/>
          <w:color w:val="000000" w:themeColor="text1"/>
        </w:rPr>
        <w:t xml:space="preserve"> kayıt aş</w:t>
      </w:r>
      <w:r>
        <w:rPr>
          <w:bCs/>
          <w:color w:val="000000" w:themeColor="text1"/>
        </w:rPr>
        <w:t>amasında denetimden geçtiği bilgisi iletilmiştir.</w:t>
      </w:r>
    </w:p>
    <w:p w:rsidR="00F46238" w:rsidRDefault="00A55452" w:rsidP="008C34FE">
      <w:pPr>
        <w:autoSpaceDE w:val="0"/>
        <w:autoSpaceDN w:val="0"/>
        <w:adjustRightInd w:val="0"/>
        <w:spacing w:after="240"/>
        <w:ind w:firstLine="709"/>
        <w:jc w:val="both"/>
        <w:rPr>
          <w:bCs/>
          <w:color w:val="000000" w:themeColor="text1"/>
        </w:rPr>
      </w:pPr>
      <w:r>
        <w:rPr>
          <w:bCs/>
          <w:color w:val="000000" w:themeColor="text1"/>
        </w:rPr>
        <w:t xml:space="preserve">SB, </w:t>
      </w:r>
      <w:r w:rsidR="0096169B" w:rsidRPr="002B5C42">
        <w:rPr>
          <w:bCs/>
          <w:color w:val="000000" w:themeColor="text1"/>
        </w:rPr>
        <w:t xml:space="preserve">internet üzerinden satışı yapılan </w:t>
      </w:r>
      <w:r w:rsidR="00954216">
        <w:rPr>
          <w:bCs/>
          <w:color w:val="000000" w:themeColor="text1"/>
        </w:rPr>
        <w:t xml:space="preserve">ürünlere yönelik </w:t>
      </w:r>
      <w:r w:rsidR="00F46238">
        <w:rPr>
          <w:bCs/>
          <w:color w:val="000000" w:themeColor="text1"/>
        </w:rPr>
        <w:t>103</w:t>
      </w:r>
      <w:r w:rsidR="004B4419">
        <w:rPr>
          <w:bCs/>
          <w:color w:val="000000" w:themeColor="text1"/>
        </w:rPr>
        <w:t xml:space="preserve"> denetimde toplam </w:t>
      </w:r>
      <w:r w:rsidR="00F46238">
        <w:rPr>
          <w:bCs/>
          <w:color w:val="000000" w:themeColor="text1"/>
        </w:rPr>
        <w:t>488</w:t>
      </w:r>
      <w:r w:rsidR="0096169B" w:rsidRPr="002B5C42">
        <w:rPr>
          <w:bCs/>
          <w:color w:val="000000" w:themeColor="text1"/>
        </w:rPr>
        <w:t xml:space="preserve"> parti kozmetik ürününü denetlemiş ve bunların tamamının uygunsuz olduğunu tespit etmiştir.</w:t>
      </w:r>
      <w:r w:rsidR="00B34F25">
        <w:rPr>
          <w:bCs/>
          <w:color w:val="000000" w:themeColor="text1"/>
        </w:rPr>
        <w:t xml:space="preserve"> </w:t>
      </w:r>
      <w:r w:rsidR="00F46238" w:rsidRPr="00F46238">
        <w:rPr>
          <w:bCs/>
          <w:color w:val="000000" w:themeColor="text1"/>
        </w:rPr>
        <w:t xml:space="preserve">Ürün tanıtımlarının tüketiciyi aldatıcı ve yanıltıcı olması nedeniyle 1655 adet alan adı/URL erişime </w:t>
      </w:r>
      <w:r w:rsidR="00F46238" w:rsidRPr="00F46238">
        <w:rPr>
          <w:bCs/>
          <w:color w:val="000000" w:themeColor="text1"/>
        </w:rPr>
        <w:lastRenderedPageBreak/>
        <w:t>engellenmesi için Erişim Sağlayıcıları Birliğine bildirilmiştir. Ayrıca 757 adet alan adı/URL gerekli değerlendirmenin yapılması amacıyla Ticaret Bakanlığına bildirilmiştir.</w:t>
      </w:r>
    </w:p>
    <w:p w:rsidR="000B1BB6" w:rsidRPr="00AA15FA" w:rsidRDefault="004B4419" w:rsidP="000B1BB6">
      <w:pPr>
        <w:autoSpaceDE w:val="0"/>
        <w:autoSpaceDN w:val="0"/>
        <w:adjustRightInd w:val="0"/>
        <w:spacing w:after="240"/>
        <w:ind w:firstLine="709"/>
        <w:jc w:val="both"/>
        <w:rPr>
          <w:rFonts w:cstheme="minorHAnsi"/>
          <w:color w:val="000000" w:themeColor="text1"/>
        </w:rPr>
      </w:pPr>
      <w:r>
        <w:rPr>
          <w:bCs/>
          <w:color w:val="000000" w:themeColor="text1"/>
        </w:rPr>
        <w:t xml:space="preserve">SB </w:t>
      </w:r>
      <w:r w:rsidR="0096169B" w:rsidRPr="002B5C42">
        <w:rPr>
          <w:bCs/>
          <w:color w:val="000000" w:themeColor="text1"/>
        </w:rPr>
        <w:t xml:space="preserve">tarafından </w:t>
      </w:r>
      <w:r w:rsidR="00BA3AB1">
        <w:rPr>
          <w:bCs/>
          <w:color w:val="000000" w:themeColor="text1"/>
        </w:rPr>
        <w:t xml:space="preserve">bu alanda gerçekleştirilen denetim </w:t>
      </w:r>
      <w:r w:rsidR="00A55452">
        <w:rPr>
          <w:bCs/>
          <w:color w:val="000000" w:themeColor="text1"/>
        </w:rPr>
        <w:t>sayısı 58</w:t>
      </w:r>
      <w:r w:rsidR="00F46238">
        <w:rPr>
          <w:bCs/>
          <w:color w:val="000000" w:themeColor="text1"/>
        </w:rPr>
        <w:t>6</w:t>
      </w:r>
      <w:r w:rsidR="00A55452">
        <w:rPr>
          <w:bCs/>
          <w:color w:val="000000" w:themeColor="text1"/>
        </w:rPr>
        <w:t>’</w:t>
      </w:r>
      <w:r w:rsidR="00F46238">
        <w:rPr>
          <w:bCs/>
          <w:color w:val="000000" w:themeColor="text1"/>
        </w:rPr>
        <w:t>dan103’e düşmüş</w:t>
      </w:r>
      <w:r w:rsidR="00BA3AB1">
        <w:rPr>
          <w:bCs/>
          <w:color w:val="000000" w:themeColor="text1"/>
        </w:rPr>
        <w:t>,</w:t>
      </w:r>
      <w:r w:rsidR="00F46238">
        <w:rPr>
          <w:bCs/>
          <w:color w:val="000000" w:themeColor="text1"/>
        </w:rPr>
        <w:t xml:space="preserve"> bu kapsamda yapılan denetimlerden</w:t>
      </w:r>
      <w:r w:rsidR="008C34FE">
        <w:rPr>
          <w:bCs/>
          <w:color w:val="000000" w:themeColor="text1"/>
        </w:rPr>
        <w:t xml:space="preserve"> uygunsuz bulu</w:t>
      </w:r>
      <w:r w:rsidR="00F46238">
        <w:rPr>
          <w:bCs/>
          <w:color w:val="000000" w:themeColor="text1"/>
        </w:rPr>
        <w:t>nan kozmetik ürünü parti sayısı</w:t>
      </w:r>
      <w:r w:rsidR="008C34FE">
        <w:rPr>
          <w:bCs/>
          <w:color w:val="000000" w:themeColor="text1"/>
        </w:rPr>
        <w:t xml:space="preserve"> 203’</w:t>
      </w:r>
      <w:r w:rsidR="00F46238">
        <w:rPr>
          <w:bCs/>
          <w:color w:val="000000" w:themeColor="text1"/>
        </w:rPr>
        <w:t>t</w:t>
      </w:r>
      <w:r w:rsidR="008C34FE">
        <w:rPr>
          <w:bCs/>
          <w:color w:val="000000" w:themeColor="text1"/>
        </w:rPr>
        <w:t>e</w:t>
      </w:r>
      <w:r w:rsidR="00F46238">
        <w:rPr>
          <w:bCs/>
          <w:color w:val="000000" w:themeColor="text1"/>
        </w:rPr>
        <w:t>n 488’e</w:t>
      </w:r>
      <w:r w:rsidR="008C34FE">
        <w:rPr>
          <w:bCs/>
          <w:color w:val="000000" w:themeColor="text1"/>
        </w:rPr>
        <w:t xml:space="preserve"> yükselmiş, bu kapsamda </w:t>
      </w:r>
      <w:r w:rsidR="0096169B" w:rsidRPr="002B5C42">
        <w:rPr>
          <w:bCs/>
          <w:color w:val="000000" w:themeColor="text1"/>
        </w:rPr>
        <w:t>internet üzerinden denetlenen ürün</w:t>
      </w:r>
      <w:r w:rsidR="008C34FE">
        <w:rPr>
          <w:bCs/>
          <w:color w:val="000000" w:themeColor="text1"/>
        </w:rPr>
        <w:t xml:space="preserve">lerde </w:t>
      </w:r>
      <w:r w:rsidRPr="002B5C42">
        <w:rPr>
          <w:bCs/>
          <w:color w:val="000000" w:themeColor="text1"/>
        </w:rPr>
        <w:t xml:space="preserve">uygunsuz bulunan ürün parti sayısı </w:t>
      </w:r>
      <w:r w:rsidR="0096169B" w:rsidRPr="002B5C42">
        <w:rPr>
          <w:bCs/>
          <w:color w:val="000000" w:themeColor="text1"/>
        </w:rPr>
        <w:t xml:space="preserve">bir önceki yıla göre </w:t>
      </w:r>
      <w:r w:rsidR="0096169B" w:rsidRPr="00211A21">
        <w:rPr>
          <w:bCs/>
          <w:color w:val="000000" w:themeColor="text1"/>
        </w:rPr>
        <w:t>%</w:t>
      </w:r>
      <w:r w:rsidR="008C34FE">
        <w:rPr>
          <w:bCs/>
          <w:color w:val="000000" w:themeColor="text1"/>
        </w:rPr>
        <w:t>1</w:t>
      </w:r>
      <w:r w:rsidR="00F46238">
        <w:rPr>
          <w:bCs/>
          <w:color w:val="000000" w:themeColor="text1"/>
        </w:rPr>
        <w:t>40</w:t>
      </w:r>
      <w:r w:rsidR="0096169B" w:rsidRPr="00211A21">
        <w:rPr>
          <w:bCs/>
          <w:color w:val="000000" w:themeColor="text1"/>
        </w:rPr>
        <w:t xml:space="preserve"> </w:t>
      </w:r>
      <w:proofErr w:type="spellStart"/>
      <w:r w:rsidR="0096169B" w:rsidRPr="00211A21">
        <w:rPr>
          <w:bCs/>
          <w:color w:val="000000" w:themeColor="text1"/>
        </w:rPr>
        <w:t>oranında</w:t>
      </w:r>
      <w:r w:rsidR="008C34FE">
        <w:rPr>
          <w:bCs/>
          <w:color w:val="000000" w:themeColor="text1"/>
        </w:rPr>
        <w:t>artış</w:t>
      </w:r>
      <w:r>
        <w:rPr>
          <w:bCs/>
          <w:color w:val="000000" w:themeColor="text1"/>
        </w:rPr>
        <w:t>göstermiştir</w:t>
      </w:r>
      <w:proofErr w:type="spellEnd"/>
      <w:r w:rsidR="0096169B" w:rsidRPr="002B5C42">
        <w:rPr>
          <w:bCs/>
          <w:color w:val="000000" w:themeColor="text1"/>
        </w:rPr>
        <w:t xml:space="preserve">. </w:t>
      </w:r>
      <w:r w:rsidR="008F46C0">
        <w:rPr>
          <w:bCs/>
          <w:color w:val="000000" w:themeColor="text1"/>
        </w:rPr>
        <w:t xml:space="preserve">Bununla birlikte Bakanlık tarafından uygulamaya konulan </w:t>
      </w:r>
      <w:r w:rsidR="008F46C0" w:rsidRPr="00F144E4">
        <w:rPr>
          <w:rFonts w:cstheme="minorHAnsi"/>
        </w:rPr>
        <w:t xml:space="preserve">idari yaptırımlar ile </w:t>
      </w:r>
      <w:r w:rsidR="008F46C0">
        <w:rPr>
          <w:rFonts w:cstheme="minorHAnsi"/>
        </w:rPr>
        <w:t xml:space="preserve">çeşitli </w:t>
      </w:r>
      <w:r w:rsidR="008F46C0" w:rsidRPr="00F144E4">
        <w:rPr>
          <w:rFonts w:cstheme="minorHAnsi"/>
        </w:rPr>
        <w:t xml:space="preserve">sosyal medya </w:t>
      </w:r>
      <w:r w:rsidR="008F46C0">
        <w:rPr>
          <w:rFonts w:cstheme="minorHAnsi"/>
        </w:rPr>
        <w:t xml:space="preserve">kuruluşları ile yapılan </w:t>
      </w:r>
      <w:r w:rsidR="008F46C0" w:rsidRPr="00F144E4">
        <w:rPr>
          <w:rFonts w:cstheme="minorHAnsi"/>
        </w:rPr>
        <w:t xml:space="preserve">görüşmelerin internet üzerinden uygunsuz ürün </w:t>
      </w:r>
      <w:r w:rsidR="008F46C0" w:rsidRPr="00AA15FA">
        <w:rPr>
          <w:rFonts w:cstheme="minorHAnsi"/>
          <w:color w:val="000000" w:themeColor="text1"/>
        </w:rPr>
        <w:t>satışının azalmasında etkili olduğu değerlendirilmiştir.</w:t>
      </w:r>
    </w:p>
    <w:p w:rsidR="000B1BB6" w:rsidRPr="00AA15FA" w:rsidRDefault="000B1BB6" w:rsidP="008C34FE">
      <w:pPr>
        <w:autoSpaceDE w:val="0"/>
        <w:autoSpaceDN w:val="0"/>
        <w:adjustRightInd w:val="0"/>
        <w:spacing w:after="240"/>
        <w:ind w:firstLine="709"/>
        <w:jc w:val="both"/>
        <w:rPr>
          <w:rFonts w:cstheme="minorHAnsi"/>
          <w:color w:val="000000" w:themeColor="text1"/>
        </w:rPr>
      </w:pPr>
      <w:r w:rsidRPr="00AA15FA">
        <w:rPr>
          <w:color w:val="000000" w:themeColor="text1"/>
          <w:sz w:val="23"/>
          <w:szCs w:val="23"/>
        </w:rPr>
        <w:t>SB tarafından Tıbbi Cihazlar Satış, Reklam ve Tanıtım Yönetmeliği gereği, yönetmeliğin Ek-3'ünde listele</w:t>
      </w:r>
      <w:r w:rsidR="00484252" w:rsidRPr="00AA15FA">
        <w:rPr>
          <w:color w:val="000000" w:themeColor="text1"/>
          <w:sz w:val="23"/>
          <w:szCs w:val="23"/>
        </w:rPr>
        <w:t>nen dışındaki Tıbbi Cihazların i</w:t>
      </w:r>
      <w:r w:rsidRPr="00AA15FA">
        <w:rPr>
          <w:color w:val="000000" w:themeColor="text1"/>
          <w:sz w:val="23"/>
          <w:szCs w:val="23"/>
        </w:rPr>
        <w:t xml:space="preserve">nternet satışları yasak olduğundan, internet </w:t>
      </w:r>
      <w:proofErr w:type="gramStart"/>
      <w:r w:rsidRPr="00AA15FA">
        <w:rPr>
          <w:color w:val="000000" w:themeColor="text1"/>
          <w:sz w:val="23"/>
          <w:szCs w:val="23"/>
        </w:rPr>
        <w:t>yada</w:t>
      </w:r>
      <w:proofErr w:type="gramEnd"/>
      <w:r w:rsidRPr="00AA15FA">
        <w:rPr>
          <w:color w:val="000000" w:themeColor="text1"/>
          <w:sz w:val="23"/>
          <w:szCs w:val="23"/>
        </w:rPr>
        <w:t xml:space="preserve"> sosyal medya ortamlarında tıbbi cihaz satışı tespit edildiğinde ürün denetimi yapılmamakta, yer sağlayıcılarla iş birliğine gidilerek mevzuata aykırı tıbbi cihazların internet satışı önlenmektedir. Ürün denetimi yapılmadığından, bu işlem PGD kapsamında değerlendirilmemektedir.</w:t>
      </w:r>
    </w:p>
    <w:p w:rsidR="00F46238" w:rsidRPr="008C34FE" w:rsidRDefault="00F46238" w:rsidP="008C34FE">
      <w:pPr>
        <w:autoSpaceDE w:val="0"/>
        <w:autoSpaceDN w:val="0"/>
        <w:adjustRightInd w:val="0"/>
        <w:spacing w:after="240"/>
        <w:ind w:firstLine="709"/>
        <w:jc w:val="both"/>
        <w:rPr>
          <w:rFonts w:cstheme="minorHAnsi"/>
        </w:rPr>
      </w:pPr>
      <w:r>
        <w:rPr>
          <w:bCs/>
          <w:color w:val="000000" w:themeColor="text1"/>
        </w:rPr>
        <w:t xml:space="preserve">Bununla birlikte, anılan Bakanlıkça </w:t>
      </w:r>
      <w:proofErr w:type="spellStart"/>
      <w:r>
        <w:rPr>
          <w:bCs/>
          <w:color w:val="000000" w:themeColor="text1"/>
        </w:rPr>
        <w:t>biyosidal</w:t>
      </w:r>
      <w:proofErr w:type="spellEnd"/>
      <w:r>
        <w:rPr>
          <w:bCs/>
          <w:color w:val="000000" w:themeColor="text1"/>
        </w:rPr>
        <w:t xml:space="preserve"> ürünler ürün grubunda </w:t>
      </w:r>
      <w:r w:rsidR="00F45523">
        <w:rPr>
          <w:bCs/>
          <w:color w:val="000000" w:themeColor="text1"/>
        </w:rPr>
        <w:t xml:space="preserve">98 ürün partisinin denetlendiği, 56’sının uygun ve 42’sinin uygunsuz olduğu, söz konusu uygunsuzlukların tamamına 277.536 TL idari para cezası uygulandığı bilgisi edinilmiştir. </w:t>
      </w:r>
    </w:p>
    <w:p w:rsidR="00951AEB" w:rsidRPr="000A0093" w:rsidRDefault="00041981" w:rsidP="00BE41A3">
      <w:pPr>
        <w:autoSpaceDE w:val="0"/>
        <w:autoSpaceDN w:val="0"/>
        <w:adjustRightInd w:val="0"/>
        <w:spacing w:after="240"/>
        <w:ind w:firstLine="709"/>
        <w:jc w:val="both"/>
        <w:rPr>
          <w:bCs/>
          <w:color w:val="000000" w:themeColor="text1"/>
        </w:rPr>
      </w:pPr>
      <w:r w:rsidRPr="000A0093">
        <w:rPr>
          <w:bCs/>
          <w:color w:val="000000" w:themeColor="text1"/>
        </w:rPr>
        <w:t>Ülkemizde SB</w:t>
      </w:r>
      <w:r w:rsidR="0053638A">
        <w:rPr>
          <w:bCs/>
          <w:color w:val="000000" w:themeColor="text1"/>
        </w:rPr>
        <w:t xml:space="preserve"> </w:t>
      </w:r>
      <w:r w:rsidRPr="000A0093">
        <w:rPr>
          <w:bCs/>
          <w:color w:val="000000" w:themeColor="text1"/>
        </w:rPr>
        <w:t xml:space="preserve">dışındaki PGD kuruluşlarının e-ticarete yönelik denetim gerçekleştirememesi, </w:t>
      </w:r>
      <w:r w:rsidR="004B4419" w:rsidRPr="000A0093">
        <w:rPr>
          <w:bCs/>
          <w:color w:val="000000" w:themeColor="text1"/>
        </w:rPr>
        <w:t>ülkemizde internet satışlarına yönelik etkili bir denetim mekanizmasının mevcut olmadığını</w:t>
      </w:r>
      <w:r w:rsidR="004549BD" w:rsidRPr="000A0093">
        <w:rPr>
          <w:bCs/>
          <w:color w:val="000000" w:themeColor="text1"/>
        </w:rPr>
        <w:t xml:space="preserve">n </w:t>
      </w:r>
      <w:r w:rsidRPr="000A0093">
        <w:rPr>
          <w:bCs/>
          <w:color w:val="000000" w:themeColor="text1"/>
        </w:rPr>
        <w:t>açık</w:t>
      </w:r>
      <w:r w:rsidR="004549BD" w:rsidRPr="000A0093">
        <w:rPr>
          <w:bCs/>
          <w:color w:val="000000" w:themeColor="text1"/>
        </w:rPr>
        <w:t xml:space="preserve"> </w:t>
      </w:r>
      <w:proofErr w:type="spellStart"/>
      <w:r w:rsidR="004549BD" w:rsidRPr="000A0093">
        <w:rPr>
          <w:bCs/>
          <w:color w:val="000000" w:themeColor="text1"/>
        </w:rPr>
        <w:t>bir</w:t>
      </w:r>
      <w:r w:rsidR="004B4419" w:rsidRPr="000A0093">
        <w:rPr>
          <w:bCs/>
          <w:color w:val="000000" w:themeColor="text1"/>
        </w:rPr>
        <w:t>göstergesidir</w:t>
      </w:r>
      <w:proofErr w:type="spellEnd"/>
      <w:r w:rsidR="004B4419" w:rsidRPr="000A0093">
        <w:rPr>
          <w:bCs/>
          <w:color w:val="000000" w:themeColor="text1"/>
        </w:rPr>
        <w:t>. Bu durum PGD kuruluşlarının bu alana daha çok önem ve öncelik vermesi gerektiğini ortaya ko</w:t>
      </w:r>
      <w:r w:rsidRPr="000A0093">
        <w:rPr>
          <w:bCs/>
          <w:color w:val="000000" w:themeColor="text1"/>
        </w:rPr>
        <w:t>ymakta olup, ü</w:t>
      </w:r>
      <w:r w:rsidR="00E04C98" w:rsidRPr="000A0093">
        <w:rPr>
          <w:bCs/>
          <w:color w:val="000000" w:themeColor="text1"/>
        </w:rPr>
        <w:t xml:space="preserve">lkemizdeki e-PGD faaliyetlerinin kapsamının ve etkinliğinin arttırılması adına sistemin bir bütün olarak ele alınarak günümüz ihtiyaçlarına uygun hale getirilmesi elzemdir. </w:t>
      </w:r>
    </w:p>
    <w:p w:rsidR="00951AEB" w:rsidRPr="000A0093" w:rsidRDefault="001E7B0F" w:rsidP="00BE41A3">
      <w:pPr>
        <w:autoSpaceDE w:val="0"/>
        <w:autoSpaceDN w:val="0"/>
        <w:adjustRightInd w:val="0"/>
        <w:spacing w:after="240"/>
        <w:ind w:firstLine="709"/>
        <w:jc w:val="both"/>
        <w:rPr>
          <w:bCs/>
          <w:color w:val="000000" w:themeColor="text1"/>
        </w:rPr>
      </w:pPr>
      <w:r w:rsidRPr="000A0093">
        <w:t>Ayrıca, e</w:t>
      </w:r>
      <w:r w:rsidR="00951AEB" w:rsidRPr="000A0093">
        <w:t xml:space="preserve">lektronik piyasalarda </w:t>
      </w:r>
      <w:proofErr w:type="spellStart"/>
      <w:r w:rsidR="00951AEB" w:rsidRPr="000A0093">
        <w:t>PGD’nin</w:t>
      </w:r>
      <w:proofErr w:type="spellEnd"/>
      <w:r w:rsidR="00645C67">
        <w:t xml:space="preserve"> </w:t>
      </w:r>
      <w:r w:rsidRPr="000A0093">
        <w:t xml:space="preserve">etkinliğinin sağlanması için </w:t>
      </w:r>
      <w:r w:rsidR="00951AEB" w:rsidRPr="000A0093">
        <w:t>bu kapsamdaki faaliyetlerin ve tekniklerin klasik piyasalara bağımlı yapısının kırılması gereklidir. Bu alanda karşılaşılan engelleri bertaraf etmek adına denetim metotlarını internet üzerinden satışı yapılan ürünlere uygun olarak geliştirmek, yasal altyapıda ihtiyaç duyulan güncellemeleri hayata geçirmek, uygulamalarda karşılaşılan sorunlara pratik çözümler bulmak ve elektronik pazarları klasik pazarlar kadar güvenli hale getirmek gerekmektedir.</w:t>
      </w:r>
    </w:p>
    <w:p w:rsidR="00CA17BC" w:rsidRPr="000A0093" w:rsidRDefault="00951AEB" w:rsidP="00BE41A3">
      <w:pPr>
        <w:autoSpaceDE w:val="0"/>
        <w:autoSpaceDN w:val="0"/>
        <w:adjustRightInd w:val="0"/>
        <w:spacing w:after="240"/>
        <w:ind w:firstLine="709"/>
        <w:jc w:val="both"/>
        <w:rPr>
          <w:bCs/>
          <w:color w:val="000000" w:themeColor="text1"/>
        </w:rPr>
      </w:pPr>
      <w:r w:rsidRPr="000A0093">
        <w:rPr>
          <w:bCs/>
          <w:color w:val="000000" w:themeColor="text1"/>
        </w:rPr>
        <w:t>Bu çerçevede i</w:t>
      </w:r>
      <w:r w:rsidR="00CA17BC" w:rsidRPr="000A0093">
        <w:rPr>
          <w:bCs/>
          <w:color w:val="000000" w:themeColor="text1"/>
        </w:rPr>
        <w:t xml:space="preserve">lk olarak bu denetimlerin planlanmasında, elektronik piyasalara özel kaynakların ve bu piyasalardaki </w:t>
      </w:r>
      <w:proofErr w:type="gramStart"/>
      <w:r w:rsidR="00CA17BC" w:rsidRPr="000A0093">
        <w:rPr>
          <w:bCs/>
          <w:color w:val="000000" w:themeColor="text1"/>
        </w:rPr>
        <w:t>trendlerin</w:t>
      </w:r>
      <w:proofErr w:type="gramEnd"/>
      <w:r w:rsidR="00CA17BC" w:rsidRPr="000A0093">
        <w:rPr>
          <w:bCs/>
          <w:color w:val="000000" w:themeColor="text1"/>
        </w:rPr>
        <w:t xml:space="preserve"> göz önüne alınm</w:t>
      </w:r>
      <w:r w:rsidR="00E04C98" w:rsidRPr="000A0093">
        <w:rPr>
          <w:bCs/>
          <w:color w:val="000000" w:themeColor="text1"/>
        </w:rPr>
        <w:t>ası</w:t>
      </w:r>
      <w:r w:rsidR="00CA17BC" w:rsidRPr="000A0093">
        <w:rPr>
          <w:bCs/>
          <w:color w:val="000000" w:themeColor="text1"/>
        </w:rPr>
        <w:t xml:space="preserve"> ve denetimlerde ürün etiket, işaret ve belgelerinden yararlanılarak risk analizi yapıl</w:t>
      </w:r>
      <w:r w:rsidR="00E04C98" w:rsidRPr="000A0093">
        <w:rPr>
          <w:bCs/>
          <w:color w:val="000000" w:themeColor="text1"/>
        </w:rPr>
        <w:t xml:space="preserve">ması sağlanmalıdır. </w:t>
      </w:r>
      <w:r w:rsidR="00041981" w:rsidRPr="000A0093">
        <w:rPr>
          <w:bCs/>
          <w:color w:val="000000" w:themeColor="text1"/>
        </w:rPr>
        <w:t>Öte yandan i</w:t>
      </w:r>
      <w:r w:rsidR="00CA17BC" w:rsidRPr="000A0093">
        <w:rPr>
          <w:bCs/>
          <w:color w:val="000000" w:themeColor="text1"/>
        </w:rPr>
        <w:t>nternet üzerinden satılan ürünlerden doğrudan siparişle numune alınamama</w:t>
      </w:r>
      <w:r w:rsidR="00041981" w:rsidRPr="000A0093">
        <w:rPr>
          <w:bCs/>
          <w:color w:val="000000" w:themeColor="text1"/>
        </w:rPr>
        <w:t>kta, bu da denetim yapılamamasına veya denetimlerde beklenen so</w:t>
      </w:r>
      <w:r w:rsidR="001E7B0F" w:rsidRPr="000A0093">
        <w:rPr>
          <w:bCs/>
          <w:color w:val="000000" w:themeColor="text1"/>
        </w:rPr>
        <w:t>nuçlara ulaşılamamasına neden o</w:t>
      </w:r>
      <w:r w:rsidR="00041981" w:rsidRPr="000A0093">
        <w:rPr>
          <w:bCs/>
          <w:color w:val="000000" w:themeColor="text1"/>
        </w:rPr>
        <w:t>lmaktadır. Bu anlamda internet üzerinden numune alımının sağlanması son derece</w:t>
      </w:r>
      <w:r w:rsidR="00645C67">
        <w:rPr>
          <w:bCs/>
          <w:color w:val="000000" w:themeColor="text1"/>
        </w:rPr>
        <w:t xml:space="preserve"> </w:t>
      </w:r>
      <w:r w:rsidR="00041981" w:rsidRPr="000A0093">
        <w:rPr>
          <w:bCs/>
          <w:color w:val="000000" w:themeColor="text1"/>
        </w:rPr>
        <w:t xml:space="preserve">önemlidir. </w:t>
      </w:r>
    </w:p>
    <w:p w:rsidR="00CA17BC" w:rsidRPr="005257AA" w:rsidRDefault="002B5C42" w:rsidP="00BE41A3">
      <w:pPr>
        <w:autoSpaceDE w:val="0"/>
        <w:autoSpaceDN w:val="0"/>
        <w:adjustRightInd w:val="0"/>
        <w:spacing w:after="240"/>
        <w:ind w:firstLine="709"/>
        <w:jc w:val="both"/>
        <w:rPr>
          <w:bCs/>
          <w:color w:val="000000" w:themeColor="text1"/>
        </w:rPr>
      </w:pPr>
      <w:r w:rsidRPr="000A0093">
        <w:rPr>
          <w:bCs/>
          <w:color w:val="000000" w:themeColor="text1"/>
        </w:rPr>
        <w:t>E-</w:t>
      </w:r>
      <w:proofErr w:type="spellStart"/>
      <w:r w:rsidRPr="000A0093">
        <w:rPr>
          <w:bCs/>
          <w:color w:val="000000" w:themeColor="text1"/>
        </w:rPr>
        <w:t>PGD’nin</w:t>
      </w:r>
      <w:proofErr w:type="spellEnd"/>
      <w:r w:rsidRPr="000A0093">
        <w:rPr>
          <w:bCs/>
          <w:color w:val="000000" w:themeColor="text1"/>
        </w:rPr>
        <w:t xml:space="preserve"> etkinliğini etkileyen bir diğer önemli sorun</w:t>
      </w:r>
      <w:r w:rsidR="001E7B0F" w:rsidRPr="000A0093">
        <w:rPr>
          <w:bCs/>
          <w:color w:val="000000" w:themeColor="text1"/>
        </w:rPr>
        <w:t xml:space="preserve"> </w:t>
      </w:r>
      <w:proofErr w:type="spellStart"/>
      <w:r w:rsidR="001E7B0F" w:rsidRPr="000A0093">
        <w:rPr>
          <w:bCs/>
          <w:color w:val="000000" w:themeColor="text1"/>
        </w:rPr>
        <w:t>da</w:t>
      </w:r>
      <w:r w:rsidR="00CA17BC" w:rsidRPr="000A0093">
        <w:rPr>
          <w:bCs/>
          <w:color w:val="000000" w:themeColor="text1"/>
        </w:rPr>
        <w:t>ürünün</w:t>
      </w:r>
      <w:proofErr w:type="spellEnd"/>
      <w:r w:rsidR="00CA17BC" w:rsidRPr="000A0093">
        <w:rPr>
          <w:bCs/>
          <w:color w:val="000000" w:themeColor="text1"/>
        </w:rPr>
        <w:t xml:space="preserve"> piyasaya arzından sorumlu aktörlere ilişkin bilgilere ulaşılamama</w:t>
      </w:r>
      <w:r w:rsidR="00590827" w:rsidRPr="000A0093">
        <w:rPr>
          <w:bCs/>
          <w:color w:val="000000" w:themeColor="text1"/>
        </w:rPr>
        <w:t>sı</w:t>
      </w:r>
      <w:r w:rsidRPr="000A0093">
        <w:rPr>
          <w:bCs/>
          <w:color w:val="000000" w:themeColor="text1"/>
        </w:rPr>
        <w:t xml:space="preserve">dır. </w:t>
      </w:r>
      <w:r w:rsidR="00CA17BC" w:rsidRPr="000A0093">
        <w:rPr>
          <w:bCs/>
          <w:color w:val="000000" w:themeColor="text1"/>
        </w:rPr>
        <w:t>Bu sorunun temel nedenleri</w:t>
      </w:r>
      <w:r w:rsidRPr="000A0093">
        <w:rPr>
          <w:bCs/>
          <w:color w:val="000000" w:themeColor="text1"/>
        </w:rPr>
        <w:t>nin</w:t>
      </w:r>
      <w:r w:rsidR="00CA17BC" w:rsidRPr="000A0093">
        <w:rPr>
          <w:bCs/>
          <w:color w:val="000000" w:themeColor="text1"/>
        </w:rPr>
        <w:t xml:space="preserve"> ilgili </w:t>
      </w:r>
      <w:r w:rsidR="00986091" w:rsidRPr="000A0093">
        <w:rPr>
          <w:bCs/>
          <w:color w:val="000000" w:themeColor="text1"/>
        </w:rPr>
        <w:t>iktisadi işletmecilerin</w:t>
      </w:r>
      <w:r w:rsidR="00CA17BC" w:rsidRPr="000A0093">
        <w:rPr>
          <w:bCs/>
          <w:color w:val="000000" w:themeColor="text1"/>
        </w:rPr>
        <w:t xml:space="preserve"> yasal yükümlülüklerini yerine getirmemeleri,  denetmenlerin</w:t>
      </w:r>
      <w:r w:rsidR="00CA17BC" w:rsidRPr="002B5C42">
        <w:rPr>
          <w:bCs/>
          <w:color w:val="000000" w:themeColor="text1"/>
        </w:rPr>
        <w:t xml:space="preserve"> bu bilgileri elde edecek teknik bilgiye sahip olmamaları ve bu alanda bazı bilgilere sahip olabilecek kurum ve kuruluşlar arasında bu açığın kapanmasına katkı sağlayacak bir işbirliği mekanizmasının oluşturulamaması olduğu değerlendirilmektedir. Bu alanda da mevzuat altyapısında eksiklik olmakla birlikte, denetim </w:t>
      </w:r>
      <w:r w:rsidR="00CA17BC" w:rsidRPr="005257AA">
        <w:rPr>
          <w:bCs/>
          <w:color w:val="000000" w:themeColor="text1"/>
        </w:rPr>
        <w:t xml:space="preserve">tekniklerinin ve işbirliği mekanizmalarının geliştirilmesi zaruridir. </w:t>
      </w:r>
    </w:p>
    <w:p w:rsidR="00E04C98" w:rsidRPr="005257AA" w:rsidRDefault="00E04C98" w:rsidP="00BE41A3">
      <w:pPr>
        <w:autoSpaceDE w:val="0"/>
        <w:autoSpaceDN w:val="0"/>
        <w:adjustRightInd w:val="0"/>
        <w:spacing w:after="240"/>
        <w:ind w:firstLine="709"/>
        <w:jc w:val="both"/>
        <w:rPr>
          <w:bCs/>
          <w:color w:val="000000" w:themeColor="text1"/>
        </w:rPr>
      </w:pPr>
      <w:r w:rsidRPr="005257AA">
        <w:rPr>
          <w:bCs/>
          <w:color w:val="000000" w:themeColor="text1"/>
        </w:rPr>
        <w:t xml:space="preserve">Bu çerçevede, </w:t>
      </w:r>
      <w:r w:rsidR="00967417" w:rsidRPr="005257AA">
        <w:rPr>
          <w:bCs/>
          <w:color w:val="000000" w:themeColor="text1"/>
        </w:rPr>
        <w:t>ülkemizde e-PGD</w:t>
      </w:r>
      <w:r w:rsidRPr="005257AA">
        <w:rPr>
          <w:bCs/>
          <w:color w:val="000000" w:themeColor="text1"/>
        </w:rPr>
        <w:t xml:space="preserve"> alanında uygulanacak idari yaptırımlar</w:t>
      </w:r>
      <w:r w:rsidR="002B5C42" w:rsidRPr="005257AA">
        <w:rPr>
          <w:bCs/>
          <w:color w:val="000000" w:themeColor="text1"/>
        </w:rPr>
        <w:t>ı da içerecek şekilde</w:t>
      </w:r>
      <w:r w:rsidRPr="005257AA">
        <w:rPr>
          <w:bCs/>
          <w:color w:val="000000" w:themeColor="text1"/>
        </w:rPr>
        <w:t xml:space="preserve"> hukuki düzenleme ihtiyacı olduğu ortaya çıkmaktadır. Bu düzenlemeler</w:t>
      </w:r>
      <w:r w:rsidR="001E7B0F" w:rsidRPr="005257AA">
        <w:rPr>
          <w:bCs/>
          <w:color w:val="000000" w:themeColor="text1"/>
        </w:rPr>
        <w:t>;</w:t>
      </w:r>
      <w:r w:rsidRPr="005257AA">
        <w:rPr>
          <w:bCs/>
          <w:color w:val="000000" w:themeColor="text1"/>
        </w:rPr>
        <w:t xml:space="preserve"> numune alma yöntemleri, </w:t>
      </w:r>
      <w:r w:rsidRPr="005257AA">
        <w:rPr>
          <w:bCs/>
          <w:color w:val="000000" w:themeColor="text1"/>
        </w:rPr>
        <w:lastRenderedPageBreak/>
        <w:t>web sitesinin kısmen veya tamamen kapatılması, izlenebilirlik bakımından iktisadi işletmeci bilgisinin aracı hizmet sağlayıcı tarafından kayda alınması hususlarını içermelidir.</w:t>
      </w:r>
    </w:p>
    <w:p w:rsidR="008F57E3" w:rsidRPr="002B5C42" w:rsidRDefault="00E04C98" w:rsidP="00BE41A3">
      <w:pPr>
        <w:autoSpaceDE w:val="0"/>
        <w:autoSpaceDN w:val="0"/>
        <w:adjustRightInd w:val="0"/>
        <w:spacing w:after="240"/>
        <w:ind w:firstLine="709"/>
        <w:jc w:val="both"/>
        <w:rPr>
          <w:bCs/>
          <w:color w:val="000000" w:themeColor="text1"/>
        </w:rPr>
      </w:pPr>
      <w:r w:rsidRPr="005257AA">
        <w:rPr>
          <w:bCs/>
          <w:color w:val="000000" w:themeColor="text1"/>
        </w:rPr>
        <w:t xml:space="preserve">Nitekim bu alanda duyulan ihtiyacı gidermek amacıyla </w:t>
      </w:r>
      <w:r w:rsidR="008F46C0" w:rsidRPr="005257AA">
        <w:rPr>
          <w:bCs/>
          <w:color w:val="000000" w:themeColor="text1"/>
        </w:rPr>
        <w:t>TB</w:t>
      </w:r>
      <w:r w:rsidRPr="005257AA">
        <w:rPr>
          <w:bCs/>
          <w:color w:val="000000" w:themeColor="text1"/>
        </w:rPr>
        <w:t xml:space="preserve"> tarafından gerekli çalışmalar başlatılmış ve </w:t>
      </w:r>
      <w:r w:rsidR="00B43442" w:rsidRPr="005257AA">
        <w:rPr>
          <w:bCs/>
          <w:color w:val="000000" w:themeColor="text1"/>
        </w:rPr>
        <w:t xml:space="preserve">7223 Sayılı </w:t>
      </w:r>
      <w:r w:rsidRPr="005257AA">
        <w:rPr>
          <w:bCs/>
          <w:color w:val="000000" w:themeColor="text1"/>
        </w:rPr>
        <w:t>Ürün Güvenliği ve Tek</w:t>
      </w:r>
      <w:r w:rsidR="00C71934" w:rsidRPr="005257AA">
        <w:rPr>
          <w:bCs/>
          <w:color w:val="000000" w:themeColor="text1"/>
        </w:rPr>
        <w:t>nik Düzenlemeler Kanun</w:t>
      </w:r>
      <w:r w:rsidR="00B66731" w:rsidRPr="005257AA">
        <w:rPr>
          <w:bCs/>
          <w:color w:val="000000" w:themeColor="text1"/>
        </w:rPr>
        <w:t>u</w:t>
      </w:r>
      <w:r w:rsidR="00B43442" w:rsidRPr="005257AA">
        <w:rPr>
          <w:bCs/>
          <w:color w:val="000000" w:themeColor="text1"/>
        </w:rPr>
        <w:t xml:space="preserve">12/03/2020 tarihli ve 31066 sayılı Resmi </w:t>
      </w:r>
      <w:proofErr w:type="spellStart"/>
      <w:r w:rsidR="00B43442" w:rsidRPr="005257AA">
        <w:rPr>
          <w:bCs/>
          <w:color w:val="000000" w:themeColor="text1"/>
        </w:rPr>
        <w:t>Gazete’de</w:t>
      </w:r>
      <w:proofErr w:type="spellEnd"/>
      <w:r w:rsidR="00B43442" w:rsidRPr="005257AA">
        <w:rPr>
          <w:bCs/>
          <w:color w:val="000000" w:themeColor="text1"/>
        </w:rPr>
        <w:t xml:space="preserve"> yayımlanmıştır</w:t>
      </w:r>
      <w:r w:rsidR="008F57E3" w:rsidRPr="005257AA">
        <w:rPr>
          <w:bCs/>
          <w:color w:val="000000" w:themeColor="text1"/>
        </w:rPr>
        <w:t xml:space="preserve">. </w:t>
      </w:r>
      <w:r w:rsidR="00951AEB" w:rsidRPr="005257AA">
        <w:rPr>
          <w:bCs/>
          <w:color w:val="000000" w:themeColor="text1"/>
        </w:rPr>
        <w:t xml:space="preserve">Söz konusu Taslağa </w:t>
      </w:r>
      <w:r w:rsidRPr="005257AA">
        <w:rPr>
          <w:bCs/>
          <w:color w:val="000000" w:themeColor="text1"/>
        </w:rPr>
        <w:t>internet denetimlerinin etkin bir biçimde yürütülmesine katkı sağlayacağı değerlendirilen hükümler eklenmiş</w:t>
      </w:r>
      <w:r w:rsidR="00951AEB" w:rsidRPr="005257AA">
        <w:rPr>
          <w:bCs/>
          <w:color w:val="000000" w:themeColor="text1"/>
        </w:rPr>
        <w:t xml:space="preserve"> olup, </w:t>
      </w:r>
      <w:r w:rsidR="00967417" w:rsidRPr="005257AA">
        <w:rPr>
          <w:bCs/>
          <w:color w:val="000000" w:themeColor="text1"/>
        </w:rPr>
        <w:t>Taslağın yasalaşması ile numune alımlarının hukuki dayanağı oluşturulacak, ürünün piyasaya arzından sorumlu aktörlere ilişkin düzenlemeler hayata geçirilmiş olacak ve elektronik ortama uygun yeni önlemler oluşturulacaktır.</w:t>
      </w:r>
    </w:p>
    <w:p w:rsidR="0096169B" w:rsidRPr="000554FC" w:rsidRDefault="0096169B" w:rsidP="009525F6">
      <w:pPr>
        <w:pStyle w:val="Balk2"/>
        <w:numPr>
          <w:ilvl w:val="0"/>
          <w:numId w:val="17"/>
        </w:numPr>
        <w:ind w:left="708" w:firstLine="0"/>
      </w:pPr>
      <w:bookmarkStart w:id="9" w:name="_Toc4892863"/>
      <w:r w:rsidRPr="000554FC">
        <w:t>KAZA/YARALANMA VERİLERİ ÜZERİNE DENETİMLER</w:t>
      </w:r>
      <w:bookmarkEnd w:id="9"/>
    </w:p>
    <w:p w:rsidR="0096169B" w:rsidRPr="000554FC" w:rsidRDefault="0096169B" w:rsidP="00BE41A3">
      <w:pPr>
        <w:ind w:firstLine="709"/>
        <w:rPr>
          <w:color w:val="000000" w:themeColor="text1"/>
        </w:rPr>
      </w:pPr>
    </w:p>
    <w:p w:rsidR="00584FC9" w:rsidRDefault="00DA5485" w:rsidP="005B5A86">
      <w:pPr>
        <w:pStyle w:val="GvdeMetni"/>
        <w:spacing w:after="240"/>
        <w:ind w:firstLine="709"/>
      </w:pPr>
      <w:r w:rsidRPr="00287BAA">
        <w:t>201</w:t>
      </w:r>
      <w:r w:rsidR="00EB3259">
        <w:t>8 yılında</w:t>
      </w:r>
      <w:r w:rsidRPr="00287BAA">
        <w:t>,</w:t>
      </w:r>
      <w:r w:rsidR="00B02E93" w:rsidRPr="00287BAA">
        <w:t xml:space="preserve"> ö</w:t>
      </w:r>
      <w:r w:rsidR="00581192" w:rsidRPr="00287BAA">
        <w:t xml:space="preserve">nceki </w:t>
      </w:r>
      <w:r w:rsidR="00EB3259">
        <w:t xml:space="preserve">yıllardan farklı </w:t>
      </w:r>
      <w:proofErr w:type="spellStart"/>
      <w:proofErr w:type="gramStart"/>
      <w:r w:rsidR="00EB3259">
        <w:t>olarak,</w:t>
      </w:r>
      <w:r w:rsidR="000764A7" w:rsidRPr="00287BAA">
        <w:t>kaza</w:t>
      </w:r>
      <w:proofErr w:type="spellEnd"/>
      <w:proofErr w:type="gramEnd"/>
      <w:r w:rsidR="000764A7" w:rsidRPr="00287BAA">
        <w:t xml:space="preserve">/yaralanma verileri üzerine yapılan denetimlere </w:t>
      </w:r>
      <w:proofErr w:type="spellStart"/>
      <w:r w:rsidR="000764A7" w:rsidRPr="00287BAA">
        <w:t>ilişkin</w:t>
      </w:r>
      <w:r w:rsidR="0096169B" w:rsidRPr="00287BAA">
        <w:t>SB</w:t>
      </w:r>
      <w:r w:rsidR="00EB3259">
        <w:t>’nin</w:t>
      </w:r>
      <w:proofErr w:type="spellEnd"/>
      <w:r w:rsidR="00EB3259">
        <w:t xml:space="preserve"> yanı sıra BTK </w:t>
      </w:r>
      <w:r w:rsidR="0096169B" w:rsidRPr="00287BAA">
        <w:t xml:space="preserve"> tarafından</w:t>
      </w:r>
      <w:r w:rsidR="00EB3259">
        <w:t xml:space="preserve"> da</w:t>
      </w:r>
      <w:r w:rsidR="00584FC9">
        <w:t xml:space="preserve"> veri sağlanmış olmasına rağmen 2019 yılında yalnızca</w:t>
      </w:r>
      <w:r w:rsidR="0096169B" w:rsidRPr="00287BAA">
        <w:t xml:space="preserve"> SB</w:t>
      </w:r>
      <w:r w:rsidR="005B5A86">
        <w:t xml:space="preserve"> tarafından</w:t>
      </w:r>
      <w:r w:rsidR="00584FC9">
        <w:t xml:space="preserve"> veri sağlanmıştır.</w:t>
      </w:r>
      <w:r w:rsidR="00326C93">
        <w:t>SB tarafından, k</w:t>
      </w:r>
      <w:r w:rsidR="00584FC9" w:rsidRPr="00584FC9">
        <w:t>aza/yaralanma veri</w:t>
      </w:r>
      <w:r w:rsidR="00326C93">
        <w:t>lerinin</w:t>
      </w:r>
      <w:r w:rsidR="00584FC9" w:rsidRPr="00584FC9">
        <w:t xml:space="preserve"> kaynağı</w:t>
      </w:r>
      <w:r w:rsidR="00326C93">
        <w:t>nın vatandaşlar olduğu, ş</w:t>
      </w:r>
      <w:r w:rsidR="00584FC9" w:rsidRPr="00584FC9">
        <w:t xml:space="preserve">ikayetlerden 98 </w:t>
      </w:r>
      <w:proofErr w:type="spellStart"/>
      <w:r w:rsidR="00584FC9" w:rsidRPr="00584FC9">
        <w:t>adedi</w:t>
      </w:r>
      <w:r w:rsidR="00326C93">
        <w:t>nin</w:t>
      </w:r>
      <w:r w:rsidR="00584FC9" w:rsidRPr="00584FC9">
        <w:t>Kozmetovijilans</w:t>
      </w:r>
      <w:proofErr w:type="spellEnd"/>
      <w:r w:rsidR="00584FC9" w:rsidRPr="00584FC9">
        <w:t xml:space="preserve"> bildir</w:t>
      </w:r>
      <w:r w:rsidR="00326C93">
        <w:t>imi olarak değerlendirildiği belirtilmiştir. S</w:t>
      </w:r>
      <w:r w:rsidR="00584FC9" w:rsidRPr="00584FC9">
        <w:t xml:space="preserve">öz konusu </w:t>
      </w:r>
      <w:proofErr w:type="spellStart"/>
      <w:r w:rsidR="00584FC9" w:rsidRPr="00584FC9">
        <w:t>kozmetovijilans</w:t>
      </w:r>
      <w:proofErr w:type="spellEnd"/>
      <w:r w:rsidR="00584FC9" w:rsidRPr="00584FC9">
        <w:t xml:space="preserve"> bildirimlerine istinaden denetimler</w:t>
      </w:r>
      <w:r w:rsidR="00326C93">
        <w:t>in başlatılarak 33</w:t>
      </w:r>
      <w:r w:rsidR="00584FC9" w:rsidRPr="00584FC9">
        <w:t xml:space="preserve"> ürün</w:t>
      </w:r>
      <w:r w:rsidR="00326C93">
        <w:t xml:space="preserve"> partisinin denetlendiği, 3 tane uygunsuzluk tespit edildiği, </w:t>
      </w:r>
      <w:r w:rsidR="00584FC9" w:rsidRPr="00584FC9">
        <w:t xml:space="preserve"> 2018 yılından devam eden ve sonuçlanan veriler ile birlikte 2019 yılında başlatılan ve sonuçlanan veriler</w:t>
      </w:r>
      <w:r w:rsidR="00326C93">
        <w:t xml:space="preserve">in iletildiği, </w:t>
      </w:r>
      <w:r w:rsidR="00584FC9" w:rsidRPr="00584FC9">
        <w:t xml:space="preserve">2019 yılında başlatılan ve </w:t>
      </w:r>
      <w:proofErr w:type="gramStart"/>
      <w:r w:rsidR="00584FC9" w:rsidRPr="00584FC9">
        <w:t>halihazırda</w:t>
      </w:r>
      <w:proofErr w:type="gramEnd"/>
      <w:r w:rsidR="00584FC9" w:rsidRPr="00584FC9">
        <w:t xml:space="preserve"> devam eden denetimlere ilişkin sonuçlanmayan denetimlere ilişkin veriler</w:t>
      </w:r>
      <w:r w:rsidR="00326C93">
        <w:t>in kaydedilemediği ve</w:t>
      </w:r>
      <w:r w:rsidR="00584FC9" w:rsidRPr="00584FC9">
        <w:t xml:space="preserve"> bu denetimlerin </w:t>
      </w:r>
      <w:proofErr w:type="spellStart"/>
      <w:r w:rsidR="00584FC9" w:rsidRPr="00584FC9">
        <w:t>verileri</w:t>
      </w:r>
      <w:r w:rsidR="00326C93">
        <w:t>ninbir</w:t>
      </w:r>
      <w:proofErr w:type="spellEnd"/>
      <w:r w:rsidR="00326C93">
        <w:t xml:space="preserve"> sonraki dönemde kayıt edileceği bilgisi iletilmiştir.</w:t>
      </w:r>
    </w:p>
    <w:p w:rsidR="000B1BB6" w:rsidRPr="00AA15FA" w:rsidRDefault="000B1BB6" w:rsidP="005B5A86">
      <w:pPr>
        <w:pStyle w:val="GvdeMetni"/>
        <w:spacing w:after="240"/>
        <w:ind w:firstLine="709"/>
        <w:rPr>
          <w:strike/>
          <w:color w:val="000000" w:themeColor="text1"/>
        </w:rPr>
      </w:pPr>
      <w:r w:rsidRPr="00AA15FA">
        <w:rPr>
          <w:color w:val="000000" w:themeColor="text1"/>
          <w:sz w:val="23"/>
          <w:szCs w:val="23"/>
        </w:rPr>
        <w:t xml:space="preserve">Sağlık Bakanlığı Ulusal Kaza Yaralanma Veri Tabanı (UKAY) sistemi PGD kuruluşlarına kaza/yaralanma verilerini vermeye uygun yapılandırılmamış, mevcut durumda sadece sağlık kuruluşlarına gelen kaza yaralanma bilgilerinin veri girişine uygundur. Bu sisteme kayıt edilmiş kaza yaralanma verilerini ilgili PGD Kuruluşlarına aktaracak bir yapı henüz bulunmadığından, UKAY kaynaklı tıbbi cihaz PGD yapılamamaktadır. Ancak, Tıbbi Cihaz Uyarı Sistemi kapsamında kaza ve yaralanmalara ilişkin veriler “olumsuz olay” adı altında Sağlık Kuruluşları, üretici/ithalatçılar ve Avrupa Birliğinden meddev.vigilance@titck.gov.tr adresinden </w:t>
      </w:r>
      <w:r w:rsidR="00A05BA7" w:rsidRPr="00AA15FA">
        <w:rPr>
          <w:color w:val="000000" w:themeColor="text1"/>
          <w:sz w:val="23"/>
          <w:szCs w:val="23"/>
        </w:rPr>
        <w:t>Sağlık Bakanlığına bildirilmekte</w:t>
      </w:r>
      <w:r w:rsidRPr="00AA15FA">
        <w:rPr>
          <w:color w:val="000000" w:themeColor="text1"/>
          <w:sz w:val="23"/>
          <w:szCs w:val="23"/>
        </w:rPr>
        <w:t xml:space="preserve"> ve bu bildirimlere istinaden denetim yapılmaktadır. ÜTS veri tabanında bu sistem kurulmuş, tüm olumsuz olayların bu sisteme girişine başlanmış, ancak sistemden olumsuz olaylar içinde sadece kaza/yaralanma kaynaklı denetimleri alabilmek için gereken sistem iyileştirmesi henüz tamamlanmadığından bu verilere 2019 yılında erişilememiştir.</w:t>
      </w:r>
    </w:p>
    <w:p w:rsidR="00326C93" w:rsidRDefault="00E65561" w:rsidP="00E65561">
      <w:pPr>
        <w:pStyle w:val="GvdeMetni"/>
        <w:spacing w:after="240"/>
        <w:ind w:firstLine="709"/>
      </w:pPr>
      <w:r>
        <w:t>ÇŞB tarafından, katı yakıtlar ürün grubuna yönelik y</w:t>
      </w:r>
      <w:r w:rsidRPr="00E65561">
        <w:t xml:space="preserve">apılan </w:t>
      </w:r>
      <w:proofErr w:type="spellStart"/>
      <w:r w:rsidRPr="00E65561">
        <w:t>denetimler</w:t>
      </w:r>
      <w:r>
        <w:t>in</w:t>
      </w:r>
      <w:r w:rsidRPr="00E65561">
        <w:t>şikayet</w:t>
      </w:r>
      <w:proofErr w:type="spellEnd"/>
      <w:r w:rsidRPr="00E65561">
        <w:t xml:space="preserve"> ihbar üzerine, ani ve planlı denetim</w:t>
      </w:r>
      <w:r>
        <w:t xml:space="preserve"> şeklinde gerçekleştirildiği, Bakanlıkç</w:t>
      </w:r>
      <w:r w:rsidRPr="00E65561">
        <w:t>a kaza/yaralanma verilerini takip eden bir sistem</w:t>
      </w:r>
      <w:r>
        <w:t>in bulunmadığı, k</w:t>
      </w:r>
      <w:r w:rsidRPr="00E65561">
        <w:t>aza/yaralanma üzerine yapılan denetim miktarı</w:t>
      </w:r>
      <w:r>
        <w:t>nın</w:t>
      </w:r>
      <w:r w:rsidRPr="00E65561">
        <w:t xml:space="preserve"> ayr</w:t>
      </w:r>
      <w:r>
        <w:t>ı olarak tespit edilemediği bilgisi iletilmiştir.</w:t>
      </w:r>
    </w:p>
    <w:p w:rsidR="00326C93" w:rsidRDefault="00326C93" w:rsidP="005B5A86">
      <w:pPr>
        <w:pStyle w:val="GvdeMetni"/>
        <w:spacing w:after="240"/>
        <w:ind w:firstLine="709"/>
      </w:pPr>
      <w:r>
        <w:t xml:space="preserve">STB </w:t>
      </w:r>
      <w:r w:rsidR="00E65561">
        <w:t>tarafından yasal metroloji ile petrol ve LPG ürün gruplarında b</w:t>
      </w:r>
      <w:r w:rsidR="00E65561" w:rsidRPr="00E65561">
        <w:t xml:space="preserve">u denetim metoduyla herhangi </w:t>
      </w:r>
      <w:r w:rsidR="00E65561">
        <w:t xml:space="preserve">bir ürün denetimi yapılmadığı belirtilmiş ve STB görev alanında </w:t>
      </w:r>
      <w:r>
        <w:t>yer alan</w:t>
      </w:r>
      <w:r w:rsidR="00E65561">
        <w:t xml:space="preserve"> diğer</w:t>
      </w:r>
      <w:r>
        <w:t xml:space="preserve"> ürün gruplarında </w:t>
      </w:r>
      <w:r w:rsidRPr="00326C93">
        <w:t>Sağlık Bakanlığı Ulusal Kaza Yaralanma Veri Tabanında yer alan kaza/yaralanma bilgileri</w:t>
      </w:r>
      <w:r>
        <w:t>nin</w:t>
      </w:r>
      <w:r w:rsidRPr="00326C93">
        <w:t xml:space="preserve"> verileri elde etmeye elveriş</w:t>
      </w:r>
      <w:r w:rsidR="00375716">
        <w:t>li olmad</w:t>
      </w:r>
      <w:r>
        <w:t>ığı bilgisi iletilmiştir.</w:t>
      </w:r>
    </w:p>
    <w:p w:rsidR="006A3CE9" w:rsidRDefault="006A3CE9" w:rsidP="005B5A86">
      <w:pPr>
        <w:pStyle w:val="GvdeMetni"/>
        <w:spacing w:after="240"/>
        <w:ind w:firstLine="709"/>
      </w:pPr>
    </w:p>
    <w:p w:rsidR="0096169B" w:rsidRPr="000554FC" w:rsidRDefault="0096169B" w:rsidP="009525F6">
      <w:pPr>
        <w:pStyle w:val="Balk1"/>
        <w:numPr>
          <w:ilvl w:val="0"/>
          <w:numId w:val="15"/>
        </w:numPr>
        <w:ind w:left="708" w:firstLine="0"/>
        <w:rPr>
          <w:color w:val="000000" w:themeColor="text1"/>
        </w:rPr>
      </w:pPr>
      <w:bookmarkStart w:id="10" w:name="_Toc4892864"/>
      <w:r w:rsidRPr="000554FC">
        <w:rPr>
          <w:color w:val="000000" w:themeColor="text1"/>
        </w:rPr>
        <w:t>DENETİM SONUÇLARI</w:t>
      </w:r>
      <w:bookmarkEnd w:id="10"/>
    </w:p>
    <w:p w:rsidR="0096169B" w:rsidRPr="009525F6" w:rsidRDefault="0096169B" w:rsidP="009525F6">
      <w:pPr>
        <w:pStyle w:val="Balk1"/>
        <w:numPr>
          <w:ilvl w:val="0"/>
          <w:numId w:val="0"/>
        </w:numPr>
        <w:ind w:left="708"/>
        <w:rPr>
          <w:color w:val="000000" w:themeColor="text1"/>
        </w:rPr>
      </w:pPr>
    </w:p>
    <w:p w:rsidR="0096169B" w:rsidRDefault="0096169B" w:rsidP="009525F6">
      <w:pPr>
        <w:pStyle w:val="Balk1"/>
        <w:numPr>
          <w:ilvl w:val="0"/>
          <w:numId w:val="28"/>
        </w:numPr>
        <w:rPr>
          <w:color w:val="000000" w:themeColor="text1"/>
        </w:rPr>
      </w:pPr>
      <w:bookmarkStart w:id="11" w:name="_Toc4892865"/>
      <w:r w:rsidRPr="009525F6">
        <w:rPr>
          <w:color w:val="000000" w:themeColor="text1"/>
        </w:rPr>
        <w:t>DENETLENEN ÜRÜN PARTİ SAYILARI</w:t>
      </w:r>
      <w:bookmarkEnd w:id="11"/>
    </w:p>
    <w:p w:rsidR="009525F6" w:rsidRPr="009525F6" w:rsidRDefault="009525F6" w:rsidP="009525F6"/>
    <w:p w:rsidR="006745DC" w:rsidRPr="006A3CE9" w:rsidRDefault="0013690A" w:rsidP="006A3CE9">
      <w:pPr>
        <w:pStyle w:val="GvdeMetni"/>
        <w:spacing w:after="240" w:line="360" w:lineRule="auto"/>
        <w:jc w:val="left"/>
        <w:rPr>
          <w:b/>
          <w:bCs/>
          <w:color w:val="000000" w:themeColor="text1"/>
        </w:rPr>
      </w:pPr>
      <w:r>
        <w:rPr>
          <w:noProof/>
          <w:lang w:eastAsia="tr-TR"/>
        </w:rPr>
        <w:lastRenderedPageBreak/>
        <w:drawing>
          <wp:inline distT="0" distB="0" distL="0" distR="0">
            <wp:extent cx="5734050" cy="3433763"/>
            <wp:effectExtent l="0" t="0" r="0" b="14605"/>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1199" w:rsidRDefault="003630E4" w:rsidP="00BE41A3">
      <w:pPr>
        <w:pStyle w:val="GvdeMetni"/>
        <w:spacing w:after="240"/>
        <w:rPr>
          <w:color w:val="000000" w:themeColor="text1"/>
        </w:rPr>
      </w:pPr>
      <w:r>
        <w:rPr>
          <w:noProof/>
          <w:lang w:eastAsia="tr-TR"/>
        </w:rPr>
        <w:drawing>
          <wp:inline distT="0" distB="0" distL="0" distR="0">
            <wp:extent cx="6562052" cy="4324350"/>
            <wp:effectExtent l="0" t="0" r="10795" b="0"/>
            <wp:docPr id="61" name="Grafik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690B" w:rsidRPr="001728C8" w:rsidRDefault="00AD1E9D" w:rsidP="004B690B">
      <w:pPr>
        <w:pStyle w:val="GvdeMetni"/>
        <w:numPr>
          <w:ilvl w:val="0"/>
          <w:numId w:val="9"/>
        </w:numPr>
        <w:spacing w:after="240"/>
        <w:ind w:left="426" w:firstLine="0"/>
        <w:rPr>
          <w:color w:val="000000" w:themeColor="text1"/>
        </w:rPr>
      </w:pPr>
      <w:r w:rsidRPr="001728C8">
        <w:rPr>
          <w:color w:val="000000" w:themeColor="text1"/>
        </w:rPr>
        <w:t>201</w:t>
      </w:r>
      <w:r w:rsidR="00951F1E" w:rsidRPr="001728C8">
        <w:rPr>
          <w:color w:val="000000" w:themeColor="text1"/>
        </w:rPr>
        <w:t>9</w:t>
      </w:r>
      <w:r w:rsidR="0021225D">
        <w:rPr>
          <w:color w:val="000000" w:themeColor="text1"/>
        </w:rPr>
        <w:t xml:space="preserve"> </w:t>
      </w:r>
      <w:r w:rsidR="0096169B" w:rsidRPr="001728C8">
        <w:rPr>
          <w:color w:val="000000" w:themeColor="text1"/>
        </w:rPr>
        <w:t xml:space="preserve">yılında 8 kuruluş tarafından denetlenen ürün parti sayısı </w:t>
      </w:r>
      <w:r w:rsidR="004B690B" w:rsidRPr="001728C8">
        <w:rPr>
          <w:color w:val="000000" w:themeColor="text1"/>
        </w:rPr>
        <w:t>bir önceki yıla göre yaklaşık olarak %</w:t>
      </w:r>
      <w:r w:rsidR="00951F1E" w:rsidRPr="001728C8">
        <w:rPr>
          <w:color w:val="000000" w:themeColor="text1"/>
        </w:rPr>
        <w:t>11 oranında art</w:t>
      </w:r>
      <w:r w:rsidR="004B690B" w:rsidRPr="001728C8">
        <w:rPr>
          <w:color w:val="000000" w:themeColor="text1"/>
        </w:rPr>
        <w:t xml:space="preserve">arak </w:t>
      </w:r>
      <w:r w:rsidR="00951F1E" w:rsidRPr="001728C8">
        <w:rPr>
          <w:color w:val="000000" w:themeColor="text1"/>
        </w:rPr>
        <w:t>267.594</w:t>
      </w:r>
      <w:r w:rsidR="00E85B74" w:rsidRPr="001728C8">
        <w:rPr>
          <w:color w:val="000000" w:themeColor="text1"/>
        </w:rPr>
        <w:t xml:space="preserve"> olmuştur. </w:t>
      </w:r>
      <w:r w:rsidR="004B690B" w:rsidRPr="001728C8">
        <w:rPr>
          <w:color w:val="000000" w:themeColor="text1"/>
        </w:rPr>
        <w:t xml:space="preserve">Bunun temel olarak nedeni özellikle </w:t>
      </w:r>
      <w:r w:rsidR="00951F1E" w:rsidRPr="001728C8">
        <w:rPr>
          <w:color w:val="000000" w:themeColor="text1"/>
        </w:rPr>
        <w:t xml:space="preserve">gıda maddeleri ile gıda ile temas eden maddelere </w:t>
      </w:r>
      <w:r w:rsidR="004B690B" w:rsidRPr="001728C8">
        <w:rPr>
          <w:color w:val="000000" w:themeColor="text1"/>
        </w:rPr>
        <w:t>yönelik denetimlerin a</w:t>
      </w:r>
      <w:r w:rsidR="00951F1E" w:rsidRPr="001728C8">
        <w:rPr>
          <w:color w:val="000000" w:themeColor="text1"/>
        </w:rPr>
        <w:t xml:space="preserve">rtmasından (2018’de </w:t>
      </w:r>
      <w:r w:rsidR="00951F1E" w:rsidRPr="001728C8">
        <w:rPr>
          <w:color w:val="000000" w:themeColor="text1"/>
        </w:rPr>
        <w:lastRenderedPageBreak/>
        <w:t>denetlenen ürün sayısı 44.916 iken 2019’da 52.486)</w:t>
      </w:r>
      <w:r w:rsidR="004B690B" w:rsidRPr="001728C8">
        <w:rPr>
          <w:color w:val="000000" w:themeColor="text1"/>
        </w:rPr>
        <w:t xml:space="preserve"> (%</w:t>
      </w:r>
      <w:r w:rsidR="00951F1E" w:rsidRPr="001728C8">
        <w:rPr>
          <w:color w:val="000000" w:themeColor="text1"/>
        </w:rPr>
        <w:t xml:space="preserve">17), dolayısıyla </w:t>
      </w:r>
      <w:proofErr w:type="spellStart"/>
      <w:r w:rsidR="00951F1E" w:rsidRPr="001728C8">
        <w:rPr>
          <w:color w:val="000000" w:themeColor="text1"/>
        </w:rPr>
        <w:t>TO</w:t>
      </w:r>
      <w:r w:rsidR="0096169B" w:rsidRPr="001728C8">
        <w:rPr>
          <w:color w:val="000000" w:themeColor="text1"/>
        </w:rPr>
        <w:t>B’nin</w:t>
      </w:r>
      <w:proofErr w:type="spellEnd"/>
      <w:r w:rsidR="0096169B" w:rsidRPr="001728C8">
        <w:rPr>
          <w:color w:val="000000" w:themeColor="text1"/>
        </w:rPr>
        <w:t xml:space="preserve"> denetim sayılarındaki </w:t>
      </w:r>
      <w:r w:rsidR="00951F1E" w:rsidRPr="001728C8">
        <w:rPr>
          <w:color w:val="000000" w:themeColor="text1"/>
        </w:rPr>
        <w:t>artıştan</w:t>
      </w:r>
      <w:r w:rsidR="00E85B74" w:rsidRPr="001728C8">
        <w:rPr>
          <w:color w:val="000000" w:themeColor="text1"/>
        </w:rPr>
        <w:t xml:space="preserve"> (%</w:t>
      </w:r>
      <w:r w:rsidR="001728C8" w:rsidRPr="001728C8">
        <w:rPr>
          <w:color w:val="000000" w:themeColor="text1"/>
        </w:rPr>
        <w:t>25</w:t>
      </w:r>
      <w:r w:rsidR="00E85B74" w:rsidRPr="001728C8">
        <w:rPr>
          <w:color w:val="000000" w:themeColor="text1"/>
        </w:rPr>
        <w:t>)</w:t>
      </w:r>
      <w:r w:rsidR="004B690B" w:rsidRPr="001728C8">
        <w:rPr>
          <w:color w:val="000000" w:themeColor="text1"/>
        </w:rPr>
        <w:t xml:space="preserve"> kaynaklanmaktadır. </w:t>
      </w:r>
    </w:p>
    <w:p w:rsidR="001728C8" w:rsidRPr="001728C8" w:rsidRDefault="001728C8" w:rsidP="004B690B">
      <w:pPr>
        <w:pStyle w:val="GvdeMetni"/>
        <w:numPr>
          <w:ilvl w:val="0"/>
          <w:numId w:val="9"/>
        </w:numPr>
        <w:spacing w:after="240"/>
        <w:ind w:left="426" w:firstLine="0"/>
        <w:rPr>
          <w:color w:val="000000" w:themeColor="text1"/>
        </w:rPr>
      </w:pPr>
      <w:r w:rsidRPr="001728C8">
        <w:rPr>
          <w:color w:val="000000" w:themeColor="text1"/>
        </w:rPr>
        <w:t>STB denetimleri %8 oranında artarak 72.576’ya</w:t>
      </w:r>
      <w:r>
        <w:rPr>
          <w:color w:val="000000" w:themeColor="text1"/>
        </w:rPr>
        <w:t xml:space="preserve"> ÇŞB denetimleri %9 oranında artarak 14.573’e, TKPGGM denetimleri %47 oranında artarak 2686’ya </w:t>
      </w:r>
      <w:r w:rsidRPr="001728C8">
        <w:rPr>
          <w:color w:val="000000" w:themeColor="text1"/>
        </w:rPr>
        <w:t>yükselmiştir.</w:t>
      </w:r>
    </w:p>
    <w:p w:rsidR="001728C8" w:rsidRDefault="001728C8" w:rsidP="004B690B">
      <w:pPr>
        <w:pStyle w:val="GvdeMetni"/>
        <w:numPr>
          <w:ilvl w:val="0"/>
          <w:numId w:val="9"/>
        </w:numPr>
        <w:spacing w:after="240"/>
        <w:ind w:left="426" w:firstLine="0"/>
        <w:rPr>
          <w:color w:val="000000" w:themeColor="text1"/>
        </w:rPr>
      </w:pPr>
      <w:r w:rsidRPr="001728C8">
        <w:rPr>
          <w:color w:val="000000" w:themeColor="text1"/>
        </w:rPr>
        <w:t>AÇSHB denetimlerinde %44 oranında, UAB denetimlerinde %7 oranında, SB denetimlerinde %5 oranında düşüş görülmektedir.</w:t>
      </w:r>
    </w:p>
    <w:p w:rsidR="00012D25" w:rsidRPr="00AA15FA" w:rsidRDefault="004B690B" w:rsidP="004B690B">
      <w:pPr>
        <w:pStyle w:val="GvdeMetni"/>
        <w:numPr>
          <w:ilvl w:val="0"/>
          <w:numId w:val="9"/>
        </w:numPr>
        <w:spacing w:after="240"/>
        <w:ind w:left="426" w:firstLine="0"/>
        <w:rPr>
          <w:color w:val="000000" w:themeColor="text1"/>
        </w:rPr>
      </w:pPr>
      <w:r w:rsidRPr="00FD1C22">
        <w:rPr>
          <w:color w:val="000000" w:themeColor="text1"/>
        </w:rPr>
        <w:t>Ö</w:t>
      </w:r>
      <w:r w:rsidR="00012D25" w:rsidRPr="00FD1C22">
        <w:rPr>
          <w:color w:val="000000" w:themeColor="text1"/>
        </w:rPr>
        <w:t>te yandan,</w:t>
      </w:r>
      <w:r w:rsidR="00FD1C22" w:rsidRPr="00FD1C22">
        <w:rPr>
          <w:color w:val="000000" w:themeColor="text1"/>
        </w:rPr>
        <w:t xml:space="preserve"> BTK tarafından yapılan </w:t>
      </w:r>
      <w:r w:rsidR="00FD1C22" w:rsidRPr="00AA15FA">
        <w:rPr>
          <w:color w:val="000000" w:themeColor="text1"/>
        </w:rPr>
        <w:t>denetimler %8 oranında artmıştır.</w:t>
      </w:r>
    </w:p>
    <w:p w:rsidR="00BE41A3" w:rsidRPr="00FD1C22" w:rsidRDefault="0096169B" w:rsidP="00644D2D">
      <w:pPr>
        <w:pStyle w:val="GvdeMetni"/>
        <w:numPr>
          <w:ilvl w:val="0"/>
          <w:numId w:val="9"/>
        </w:numPr>
        <w:spacing w:after="240"/>
        <w:ind w:left="426" w:firstLine="0"/>
        <w:jc w:val="left"/>
        <w:rPr>
          <w:strike/>
        </w:rPr>
      </w:pPr>
      <w:r w:rsidRPr="00AA15FA">
        <w:rPr>
          <w:color w:val="000000" w:themeColor="text1"/>
        </w:rPr>
        <w:t>Değerlendirmeye alınan ürünlerin</w:t>
      </w:r>
      <w:r w:rsidR="00645C67">
        <w:rPr>
          <w:color w:val="000000" w:themeColor="text1"/>
        </w:rPr>
        <w:t xml:space="preserve"> </w:t>
      </w:r>
      <w:r w:rsidRPr="00AA15FA">
        <w:rPr>
          <w:color w:val="000000" w:themeColor="text1"/>
        </w:rPr>
        <w:t>%</w:t>
      </w:r>
      <w:r w:rsidR="00FD1C22" w:rsidRPr="00AA15FA">
        <w:rPr>
          <w:color w:val="000000" w:themeColor="text1"/>
        </w:rPr>
        <w:t>43</w:t>
      </w:r>
      <w:r w:rsidR="003458C7" w:rsidRPr="00AA15FA">
        <w:rPr>
          <w:color w:val="000000" w:themeColor="text1"/>
        </w:rPr>
        <w:t>’</w:t>
      </w:r>
      <w:r w:rsidR="00FD1C22" w:rsidRPr="00AA15FA">
        <w:rPr>
          <w:color w:val="000000" w:themeColor="text1"/>
        </w:rPr>
        <w:t>ü</w:t>
      </w:r>
      <w:r w:rsidR="00AA15FA">
        <w:rPr>
          <w:color w:val="000000" w:themeColor="text1"/>
        </w:rPr>
        <w:t xml:space="preserve"> </w:t>
      </w:r>
      <w:r w:rsidR="003458C7" w:rsidRPr="00AA15FA">
        <w:rPr>
          <w:color w:val="000000" w:themeColor="text1"/>
        </w:rPr>
        <w:t>TOB</w:t>
      </w:r>
      <w:r w:rsidR="009734B8" w:rsidRPr="00AA15FA">
        <w:rPr>
          <w:color w:val="000000" w:themeColor="text1"/>
        </w:rPr>
        <w:t>, %</w:t>
      </w:r>
      <w:r w:rsidR="00375716" w:rsidRPr="00AA15FA">
        <w:rPr>
          <w:color w:val="000000" w:themeColor="text1"/>
        </w:rPr>
        <w:t>28</w:t>
      </w:r>
      <w:r w:rsidR="00E85B74" w:rsidRPr="00AA15FA">
        <w:rPr>
          <w:color w:val="000000" w:themeColor="text1"/>
        </w:rPr>
        <w:t>’</w:t>
      </w:r>
      <w:r w:rsidR="003458C7" w:rsidRPr="00AA15FA">
        <w:rPr>
          <w:color w:val="000000" w:themeColor="text1"/>
        </w:rPr>
        <w:t>i</w:t>
      </w:r>
      <w:r w:rsidR="009734B8" w:rsidRPr="00AA15FA">
        <w:rPr>
          <w:color w:val="000000" w:themeColor="text1"/>
        </w:rPr>
        <w:t xml:space="preserve"> ise </w:t>
      </w:r>
      <w:r w:rsidR="003458C7" w:rsidRPr="00AA15FA">
        <w:rPr>
          <w:color w:val="000000" w:themeColor="text1"/>
        </w:rPr>
        <w:t>STB</w:t>
      </w:r>
      <w:r w:rsidR="003458C7" w:rsidRPr="00FD1C22">
        <w:rPr>
          <w:color w:val="000000" w:themeColor="text1"/>
        </w:rPr>
        <w:t xml:space="preserve"> </w:t>
      </w:r>
      <w:r w:rsidRPr="00FD1C22">
        <w:rPr>
          <w:color w:val="000000" w:themeColor="text1"/>
        </w:rPr>
        <w:t>tarafından denetlenmiş</w:t>
      </w:r>
      <w:r w:rsidR="009734B8" w:rsidRPr="00FD1C22">
        <w:rPr>
          <w:color w:val="000000" w:themeColor="text1"/>
        </w:rPr>
        <w:t>tir</w:t>
      </w:r>
      <w:r w:rsidRPr="00FD1C22">
        <w:rPr>
          <w:color w:val="000000" w:themeColor="text1"/>
        </w:rPr>
        <w:t>. Bu iki kuruluşu</w:t>
      </w:r>
      <w:r w:rsidR="00BA0D9C" w:rsidRPr="00FD1C22">
        <w:rPr>
          <w:color w:val="000000" w:themeColor="text1"/>
        </w:rPr>
        <w:t>,</w:t>
      </w:r>
      <w:r w:rsidRPr="00FD1C22">
        <w:rPr>
          <w:color w:val="000000" w:themeColor="text1"/>
        </w:rPr>
        <w:t xml:space="preserve"> %</w:t>
      </w:r>
      <w:r w:rsidR="00FD1C22" w:rsidRPr="00FD1C22">
        <w:rPr>
          <w:color w:val="000000" w:themeColor="text1"/>
        </w:rPr>
        <w:t>22</w:t>
      </w:r>
      <w:r w:rsidR="006838F4" w:rsidRPr="00FD1C22">
        <w:rPr>
          <w:color w:val="000000" w:themeColor="text1"/>
        </w:rPr>
        <w:t xml:space="preserve">’lik </w:t>
      </w:r>
      <w:r w:rsidR="00FD1C22" w:rsidRPr="00FD1C22">
        <w:rPr>
          <w:color w:val="000000" w:themeColor="text1"/>
        </w:rPr>
        <w:t>payı ile S</w:t>
      </w:r>
      <w:r w:rsidRPr="00FD1C22">
        <w:rPr>
          <w:color w:val="000000" w:themeColor="text1"/>
        </w:rPr>
        <w:t xml:space="preserve">B takip etmektedir. </w:t>
      </w:r>
    </w:p>
    <w:p w:rsidR="0096169B" w:rsidRPr="00E06058" w:rsidRDefault="003157F3" w:rsidP="00863337">
      <w:pPr>
        <w:pStyle w:val="GvdeMetni"/>
        <w:numPr>
          <w:ilvl w:val="0"/>
          <w:numId w:val="9"/>
        </w:numPr>
        <w:spacing w:after="240"/>
        <w:ind w:left="426" w:firstLine="0"/>
        <w:rPr>
          <w:strike/>
        </w:rPr>
      </w:pPr>
      <w:r w:rsidRPr="00E06058">
        <w:rPr>
          <w:color w:val="000000" w:themeColor="text1"/>
        </w:rPr>
        <w:t>201</w:t>
      </w:r>
      <w:r w:rsidR="00FD1C22" w:rsidRPr="00E06058">
        <w:rPr>
          <w:color w:val="000000" w:themeColor="text1"/>
        </w:rPr>
        <w:t>9</w:t>
      </w:r>
      <w:r w:rsidRPr="00E06058">
        <w:rPr>
          <w:color w:val="000000" w:themeColor="text1"/>
        </w:rPr>
        <w:t xml:space="preserve"> yılında </w:t>
      </w:r>
      <w:r w:rsidR="00E06058" w:rsidRPr="00E06058">
        <w:rPr>
          <w:color w:val="000000" w:themeColor="text1"/>
        </w:rPr>
        <w:t>T</w:t>
      </w:r>
      <w:r w:rsidR="000C2BE5">
        <w:rPr>
          <w:color w:val="000000" w:themeColor="text1"/>
        </w:rPr>
        <w:t>K</w:t>
      </w:r>
      <w:r w:rsidR="00E06058" w:rsidRPr="00E06058">
        <w:rPr>
          <w:color w:val="000000" w:themeColor="text1"/>
        </w:rPr>
        <w:t xml:space="preserve">PGGM, </w:t>
      </w:r>
      <w:r w:rsidR="003458C7" w:rsidRPr="00E06058">
        <w:rPr>
          <w:color w:val="000000" w:themeColor="text1"/>
        </w:rPr>
        <w:t>TO</w:t>
      </w:r>
      <w:r w:rsidR="00C3782A" w:rsidRPr="00E06058">
        <w:rPr>
          <w:color w:val="000000" w:themeColor="text1"/>
        </w:rPr>
        <w:t>B</w:t>
      </w:r>
      <w:r w:rsidR="00E06058" w:rsidRPr="00E06058">
        <w:rPr>
          <w:color w:val="000000" w:themeColor="text1"/>
        </w:rPr>
        <w:t>,</w:t>
      </w:r>
      <w:r w:rsidR="00645C67">
        <w:rPr>
          <w:color w:val="000000" w:themeColor="text1"/>
        </w:rPr>
        <w:t xml:space="preserve"> </w:t>
      </w:r>
      <w:r w:rsidR="00E06058" w:rsidRPr="00E06058">
        <w:rPr>
          <w:color w:val="000000" w:themeColor="text1"/>
        </w:rPr>
        <w:t xml:space="preserve">ÇŞB </w:t>
      </w:r>
      <w:r w:rsidR="003458C7" w:rsidRPr="00E06058">
        <w:rPr>
          <w:color w:val="000000" w:themeColor="text1"/>
        </w:rPr>
        <w:t xml:space="preserve">ve </w:t>
      </w:r>
      <w:proofErr w:type="spellStart"/>
      <w:r w:rsidR="003458C7" w:rsidRPr="00E06058">
        <w:rPr>
          <w:color w:val="000000" w:themeColor="text1"/>
        </w:rPr>
        <w:t>BTK</w:t>
      </w:r>
      <w:r w:rsidR="00C3782A" w:rsidRPr="00E06058">
        <w:rPr>
          <w:color w:val="000000" w:themeColor="text1"/>
        </w:rPr>
        <w:t>tarafından</w:t>
      </w:r>
      <w:proofErr w:type="spellEnd"/>
      <w:r w:rsidR="00C3782A" w:rsidRPr="00E06058">
        <w:rPr>
          <w:color w:val="000000" w:themeColor="text1"/>
        </w:rPr>
        <w:t xml:space="preserve"> gerçekleştirilen </w:t>
      </w:r>
      <w:r w:rsidRPr="00E06058">
        <w:rPr>
          <w:color w:val="000000" w:themeColor="text1"/>
        </w:rPr>
        <w:t>denetimler</w:t>
      </w:r>
      <w:r w:rsidR="00C3782A" w:rsidRPr="00E06058">
        <w:rPr>
          <w:color w:val="000000" w:themeColor="text1"/>
        </w:rPr>
        <w:t xml:space="preserve"> sırasıyla </w:t>
      </w:r>
      <w:r w:rsidR="00E06058" w:rsidRPr="00E06058">
        <w:rPr>
          <w:color w:val="000000" w:themeColor="text1"/>
        </w:rPr>
        <w:t xml:space="preserve">%47, </w:t>
      </w:r>
      <w:r w:rsidR="00C3782A" w:rsidRPr="00E06058">
        <w:rPr>
          <w:color w:val="000000" w:themeColor="text1"/>
        </w:rPr>
        <w:t>%</w:t>
      </w:r>
      <w:r w:rsidR="00E06058" w:rsidRPr="00E06058">
        <w:rPr>
          <w:color w:val="000000" w:themeColor="text1"/>
        </w:rPr>
        <w:t>25</w:t>
      </w:r>
      <w:r w:rsidR="00C3782A" w:rsidRPr="00E06058">
        <w:rPr>
          <w:color w:val="000000" w:themeColor="text1"/>
        </w:rPr>
        <w:t>,</w:t>
      </w:r>
      <w:r w:rsidR="00645C67">
        <w:rPr>
          <w:color w:val="000000" w:themeColor="text1"/>
        </w:rPr>
        <w:t xml:space="preserve"> </w:t>
      </w:r>
      <w:r w:rsidR="00E06058" w:rsidRPr="00E06058">
        <w:rPr>
          <w:color w:val="000000" w:themeColor="text1"/>
        </w:rPr>
        <w:t xml:space="preserve">%9 ve </w:t>
      </w:r>
      <w:r w:rsidR="00C3782A" w:rsidRPr="00E06058">
        <w:rPr>
          <w:color w:val="000000" w:themeColor="text1"/>
        </w:rPr>
        <w:t>%</w:t>
      </w:r>
      <w:r w:rsidR="00E06058" w:rsidRPr="00E06058">
        <w:rPr>
          <w:color w:val="000000" w:themeColor="text1"/>
        </w:rPr>
        <w:t xml:space="preserve">8 </w:t>
      </w:r>
      <w:r w:rsidR="0067172A" w:rsidRPr="00E06058">
        <w:rPr>
          <w:color w:val="000000" w:themeColor="text1"/>
        </w:rPr>
        <w:t>oranında</w:t>
      </w:r>
      <w:r w:rsidR="00C3782A" w:rsidRPr="00E06058">
        <w:rPr>
          <w:color w:val="000000" w:themeColor="text1"/>
        </w:rPr>
        <w:t xml:space="preserve"> artmıştır.</w:t>
      </w:r>
    </w:p>
    <w:p w:rsidR="003157F3" w:rsidRDefault="003630E4" w:rsidP="00BE41A3">
      <w:pPr>
        <w:pStyle w:val="GvdeMetni"/>
        <w:spacing w:after="240"/>
        <w:rPr>
          <w:strike/>
        </w:rPr>
      </w:pPr>
      <w:r>
        <w:rPr>
          <w:noProof/>
          <w:lang w:eastAsia="tr-TR"/>
        </w:rPr>
        <w:drawing>
          <wp:inline distT="0" distB="0" distL="0" distR="0">
            <wp:extent cx="6077585" cy="4314825"/>
            <wp:effectExtent l="0" t="0" r="18415" b="9525"/>
            <wp:docPr id="62" name="Grafik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3008" w:rsidRDefault="00AF3008" w:rsidP="00BE41A3">
      <w:pPr>
        <w:pStyle w:val="GvdeMetni"/>
        <w:spacing w:after="240"/>
        <w:ind w:firstLine="709"/>
        <w:rPr>
          <w:color w:val="000000" w:themeColor="text1"/>
        </w:rPr>
      </w:pPr>
    </w:p>
    <w:p w:rsidR="00266CDE" w:rsidRDefault="0013690A" w:rsidP="00BE41A3">
      <w:pPr>
        <w:pStyle w:val="GvdeMetni"/>
        <w:spacing w:after="240"/>
        <w:rPr>
          <w:color w:val="000000" w:themeColor="text1"/>
        </w:rPr>
      </w:pPr>
      <w:r>
        <w:rPr>
          <w:noProof/>
          <w:lang w:eastAsia="tr-TR"/>
        </w:rPr>
        <w:lastRenderedPageBreak/>
        <w:drawing>
          <wp:inline distT="0" distB="0" distL="0" distR="0">
            <wp:extent cx="6013525" cy="4281544"/>
            <wp:effectExtent l="0" t="0" r="6350" b="5080"/>
            <wp:docPr id="31"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5905" w:rsidRDefault="00C3782A" w:rsidP="00A15905">
      <w:pPr>
        <w:pStyle w:val="GvdeMetni"/>
        <w:spacing w:after="240"/>
        <w:ind w:firstLine="709"/>
        <w:rPr>
          <w:color w:val="000000" w:themeColor="text1"/>
        </w:rPr>
      </w:pPr>
      <w:r>
        <w:rPr>
          <w:color w:val="000000" w:themeColor="text1"/>
        </w:rPr>
        <w:t xml:space="preserve">Sırasıyla </w:t>
      </w:r>
      <w:proofErr w:type="spellStart"/>
      <w:r w:rsidR="0047537F">
        <w:rPr>
          <w:color w:val="000000" w:themeColor="text1"/>
        </w:rPr>
        <w:t>biyosidal</w:t>
      </w:r>
      <w:proofErr w:type="spellEnd"/>
      <w:r w:rsidR="0047537F">
        <w:rPr>
          <w:color w:val="000000" w:themeColor="text1"/>
        </w:rPr>
        <w:t xml:space="preserve"> ürünler, kimyevi ve organik gübreler, </w:t>
      </w:r>
      <w:r w:rsidRPr="00094C88">
        <w:rPr>
          <w:color w:val="000000" w:themeColor="text1"/>
        </w:rPr>
        <w:t xml:space="preserve">gıda maddeleri ve gıda ile temas eden madde ve malzemeler, </w:t>
      </w:r>
      <w:r w:rsidR="00176287" w:rsidRPr="00094C88">
        <w:rPr>
          <w:color w:val="000000" w:themeColor="text1"/>
        </w:rPr>
        <w:t xml:space="preserve">elektrikli </w:t>
      </w:r>
      <w:proofErr w:type="spellStart"/>
      <w:proofErr w:type="gramStart"/>
      <w:r w:rsidR="00176287" w:rsidRPr="00094C88">
        <w:rPr>
          <w:color w:val="000000" w:themeColor="text1"/>
        </w:rPr>
        <w:t>ekipmanla</w:t>
      </w:r>
      <w:r w:rsidR="00176287">
        <w:rPr>
          <w:color w:val="000000" w:themeColor="text1"/>
        </w:rPr>
        <w:t>r,</w:t>
      </w:r>
      <w:r w:rsidRPr="00094C88">
        <w:rPr>
          <w:color w:val="000000" w:themeColor="text1"/>
        </w:rPr>
        <w:t>taşınabilir</w:t>
      </w:r>
      <w:proofErr w:type="spellEnd"/>
      <w:proofErr w:type="gramEnd"/>
      <w:r w:rsidRPr="00094C88">
        <w:rPr>
          <w:color w:val="000000" w:themeColor="text1"/>
        </w:rPr>
        <w:t xml:space="preserve"> basınçlı </w:t>
      </w:r>
      <w:proofErr w:type="spellStart"/>
      <w:r w:rsidRPr="00094C88">
        <w:rPr>
          <w:color w:val="000000" w:themeColor="text1"/>
        </w:rPr>
        <w:t>ekipmanlar,</w:t>
      </w:r>
      <w:r w:rsidR="0047537F">
        <w:rPr>
          <w:color w:val="000000" w:themeColor="text1"/>
        </w:rPr>
        <w:t>enerji</w:t>
      </w:r>
      <w:proofErr w:type="spellEnd"/>
      <w:r w:rsidR="0047537F">
        <w:rPr>
          <w:color w:val="000000" w:themeColor="text1"/>
        </w:rPr>
        <w:t xml:space="preserve"> verimliliği, </w:t>
      </w:r>
      <w:r w:rsidRPr="00094C88">
        <w:rPr>
          <w:color w:val="000000" w:themeColor="text1"/>
        </w:rPr>
        <w:t xml:space="preserve">makineler, </w:t>
      </w:r>
      <w:r w:rsidR="00176287" w:rsidRPr="00094C88">
        <w:rPr>
          <w:color w:val="000000" w:themeColor="text1"/>
        </w:rPr>
        <w:t>yem ve yem</w:t>
      </w:r>
      <w:r w:rsidR="00176287" w:rsidRPr="000554FC">
        <w:rPr>
          <w:color w:val="000000" w:themeColor="text1"/>
        </w:rPr>
        <w:t xml:space="preserve"> hammaddeleri</w:t>
      </w:r>
      <w:r w:rsidR="00176287">
        <w:rPr>
          <w:color w:val="000000" w:themeColor="text1"/>
        </w:rPr>
        <w:t xml:space="preserve">, </w:t>
      </w:r>
      <w:r w:rsidR="00176287" w:rsidRPr="00094C88">
        <w:rPr>
          <w:color w:val="000000" w:themeColor="text1"/>
        </w:rPr>
        <w:t>hazır beton dışı yapı malzemeleri</w:t>
      </w:r>
      <w:r w:rsidR="00176287">
        <w:rPr>
          <w:color w:val="000000" w:themeColor="text1"/>
        </w:rPr>
        <w:t>,</w:t>
      </w:r>
      <w:r w:rsidR="0047537F">
        <w:rPr>
          <w:color w:val="000000" w:themeColor="text1"/>
        </w:rPr>
        <w:t xml:space="preserve"> asansör ve makineler 2019</w:t>
      </w:r>
      <w:r>
        <w:rPr>
          <w:color w:val="000000" w:themeColor="text1"/>
        </w:rPr>
        <w:t xml:space="preserve"> yılında </w:t>
      </w:r>
      <w:r w:rsidRPr="00094C88">
        <w:rPr>
          <w:color w:val="000000" w:themeColor="text1"/>
        </w:rPr>
        <w:t>en çok denetlenen</w:t>
      </w:r>
      <w:r w:rsidR="00AA15FA">
        <w:rPr>
          <w:color w:val="000000" w:themeColor="text1"/>
        </w:rPr>
        <w:t xml:space="preserve"> </w:t>
      </w:r>
      <w:r w:rsidRPr="00094C88">
        <w:rPr>
          <w:color w:val="000000" w:themeColor="text1"/>
        </w:rPr>
        <w:t>ürün gru</w:t>
      </w:r>
      <w:r>
        <w:rPr>
          <w:color w:val="000000" w:themeColor="text1"/>
        </w:rPr>
        <w:t>pları olmuştur.</w:t>
      </w:r>
    </w:p>
    <w:p w:rsidR="0096169B" w:rsidRPr="000554FC" w:rsidRDefault="00A15905" w:rsidP="00A15905">
      <w:pPr>
        <w:pStyle w:val="GvdeMetni"/>
        <w:spacing w:after="240"/>
        <w:ind w:firstLine="709"/>
        <w:rPr>
          <w:color w:val="000000" w:themeColor="text1"/>
        </w:rPr>
      </w:pPr>
      <w:r>
        <w:rPr>
          <w:color w:val="000000" w:themeColor="text1"/>
        </w:rPr>
        <w:t xml:space="preserve">2019 </w:t>
      </w:r>
      <w:r w:rsidR="0096169B" w:rsidRPr="000554FC">
        <w:rPr>
          <w:color w:val="000000" w:themeColor="text1"/>
        </w:rPr>
        <w:t xml:space="preserve">yılında ayrıca; </w:t>
      </w:r>
    </w:p>
    <w:p w:rsidR="00F03335" w:rsidRPr="00AA15FA" w:rsidRDefault="0096169B" w:rsidP="00F03335">
      <w:pPr>
        <w:pStyle w:val="GvdeMetni"/>
        <w:numPr>
          <w:ilvl w:val="0"/>
          <w:numId w:val="3"/>
        </w:numPr>
        <w:tabs>
          <w:tab w:val="clear" w:pos="720"/>
        </w:tabs>
        <w:spacing w:after="60"/>
        <w:ind w:left="0" w:firstLine="426"/>
        <w:rPr>
          <w:color w:val="000000" w:themeColor="text1"/>
        </w:rPr>
      </w:pPr>
      <w:r w:rsidRPr="000554FC">
        <w:rPr>
          <w:color w:val="000000" w:themeColor="text1"/>
        </w:rPr>
        <w:t xml:space="preserve">STB </w:t>
      </w:r>
      <w:r w:rsidR="00DA4920">
        <w:rPr>
          <w:color w:val="000000" w:themeColor="text1"/>
        </w:rPr>
        <w:t xml:space="preserve">tarafından </w:t>
      </w:r>
      <w:r w:rsidRPr="000554FC">
        <w:rPr>
          <w:color w:val="000000" w:themeColor="text1"/>
        </w:rPr>
        <w:t>yasal metroloji alanında</w:t>
      </w:r>
      <w:r w:rsidR="00F7235D">
        <w:rPr>
          <w:color w:val="000000" w:themeColor="text1"/>
        </w:rPr>
        <w:t xml:space="preserve">ki </w:t>
      </w:r>
      <w:proofErr w:type="spellStart"/>
      <w:r w:rsidR="00F7235D">
        <w:rPr>
          <w:color w:val="000000" w:themeColor="text1"/>
        </w:rPr>
        <w:t>denetimlerdebir</w:t>
      </w:r>
      <w:proofErr w:type="spellEnd"/>
      <w:r w:rsidR="00F7235D">
        <w:rPr>
          <w:color w:val="000000" w:themeColor="text1"/>
        </w:rPr>
        <w:t xml:space="preserve"> </w:t>
      </w:r>
      <w:r w:rsidR="00F7235D" w:rsidRPr="00AA15FA">
        <w:rPr>
          <w:color w:val="000000" w:themeColor="text1"/>
        </w:rPr>
        <w:t>önceki yıla kıyasla %</w:t>
      </w:r>
      <w:r w:rsidR="00375226" w:rsidRPr="00AA15FA">
        <w:rPr>
          <w:color w:val="000000" w:themeColor="text1"/>
        </w:rPr>
        <w:t>5</w:t>
      </w:r>
      <w:r w:rsidR="00375716" w:rsidRPr="00AA15FA">
        <w:rPr>
          <w:color w:val="000000" w:themeColor="text1"/>
        </w:rPr>
        <w:t>2</w:t>
      </w:r>
      <w:r w:rsidR="00F7235D" w:rsidRPr="00AA15FA">
        <w:rPr>
          <w:color w:val="000000" w:themeColor="text1"/>
        </w:rPr>
        <w:t xml:space="preserve"> oranında düşüş gözlemlenmiş ve </w:t>
      </w:r>
      <w:r w:rsidR="00375226" w:rsidRPr="00AA15FA">
        <w:rPr>
          <w:color w:val="000000" w:themeColor="text1"/>
        </w:rPr>
        <w:t>180</w:t>
      </w:r>
      <w:r w:rsidR="00F7235D" w:rsidRPr="00AA15FA">
        <w:rPr>
          <w:color w:val="000000" w:themeColor="text1"/>
        </w:rPr>
        <w:t xml:space="preserve"> ürün denetlenmiştir. </w:t>
      </w:r>
      <w:r w:rsidR="00375716" w:rsidRPr="00AA15FA">
        <w:rPr>
          <w:color w:val="000000" w:themeColor="text1"/>
        </w:rPr>
        <w:t>Denetim sayısında, önceki yıla oranla düşüş olmuştur.</w:t>
      </w:r>
    </w:p>
    <w:p w:rsidR="00F03335" w:rsidRDefault="00F03335" w:rsidP="00F03335">
      <w:pPr>
        <w:pStyle w:val="GvdeMetni"/>
        <w:spacing w:after="60"/>
        <w:ind w:left="426"/>
        <w:rPr>
          <w:color w:val="000000" w:themeColor="text1"/>
        </w:rPr>
      </w:pPr>
    </w:p>
    <w:p w:rsidR="00375226" w:rsidRPr="00F03335" w:rsidRDefault="00375226" w:rsidP="00F03335">
      <w:pPr>
        <w:pStyle w:val="GvdeMetni"/>
        <w:numPr>
          <w:ilvl w:val="0"/>
          <w:numId w:val="3"/>
        </w:numPr>
        <w:tabs>
          <w:tab w:val="clear" w:pos="720"/>
        </w:tabs>
        <w:spacing w:after="60"/>
        <w:ind w:left="0" w:firstLine="426"/>
        <w:rPr>
          <w:color w:val="000000" w:themeColor="text1"/>
        </w:rPr>
      </w:pPr>
      <w:r w:rsidRPr="00F03335">
        <w:rPr>
          <w:color w:val="000000" w:themeColor="text1"/>
        </w:rPr>
        <w:t xml:space="preserve">STB tarafından iletilen bilgilere göre </w:t>
      </w:r>
      <w:r w:rsidR="00375716" w:rsidRPr="00AA15FA">
        <w:rPr>
          <w:color w:val="000000" w:themeColor="text1"/>
        </w:rPr>
        <w:t>akaryakıt (petrol)</w:t>
      </w:r>
      <w:r w:rsidR="00375716" w:rsidRPr="00375716">
        <w:rPr>
          <w:color w:val="00B050"/>
        </w:rPr>
        <w:t xml:space="preserve"> </w:t>
      </w:r>
      <w:r w:rsidRPr="00F03335">
        <w:rPr>
          <w:color w:val="000000" w:themeColor="text1"/>
        </w:rPr>
        <w:t xml:space="preserve">ürün grubunda 17.408 parti ürün denetlenmiştir. Ayrıca, akaryakıt ürünlerinin denetiminin yanı sıra 4.372 adet LPG istasyonunda lisans, sorumlu müdür çalıştırılması gibi hususlarda denetimler gerçekleştirilmiştir. Söz konusu denetimlerde sorumlu müdür çalıştırmayan 30 adet LPG istasyonu ile kaçak tüp </w:t>
      </w:r>
      <w:proofErr w:type="spellStart"/>
      <w:r w:rsidRPr="00F03335">
        <w:rPr>
          <w:color w:val="000000" w:themeColor="text1"/>
        </w:rPr>
        <w:t>dolumuna</w:t>
      </w:r>
      <w:proofErr w:type="spellEnd"/>
      <w:r w:rsidRPr="00F03335">
        <w:rPr>
          <w:color w:val="000000" w:themeColor="text1"/>
        </w:rPr>
        <w:t xml:space="preserve"> yarayan 5 </w:t>
      </w:r>
      <w:r w:rsidR="00F03335" w:rsidRPr="00F03335">
        <w:rPr>
          <w:color w:val="000000" w:themeColor="text1"/>
        </w:rPr>
        <w:t xml:space="preserve">adet aparat tespit edilmiştir. </w:t>
      </w:r>
      <w:r w:rsidRPr="00F03335">
        <w:rPr>
          <w:color w:val="000000" w:themeColor="text1"/>
        </w:rPr>
        <w:t>İlaveten, 4 adet akaryakıt istasyonunda otomasyon sistemi çalışmadığı tespit edilmiştir.</w:t>
      </w:r>
    </w:p>
    <w:p w:rsidR="009525F6" w:rsidRPr="008B2319" w:rsidRDefault="009525F6" w:rsidP="009525F6">
      <w:pPr>
        <w:pStyle w:val="GvdeMetni"/>
        <w:spacing w:after="60"/>
        <w:ind w:left="426"/>
        <w:rPr>
          <w:color w:val="000000" w:themeColor="text1"/>
        </w:rPr>
      </w:pPr>
    </w:p>
    <w:p w:rsidR="001B0141" w:rsidRDefault="00DA4920" w:rsidP="003C361C">
      <w:pPr>
        <w:pStyle w:val="GvdeMetni"/>
        <w:numPr>
          <w:ilvl w:val="0"/>
          <w:numId w:val="3"/>
        </w:numPr>
        <w:spacing w:after="60"/>
        <w:rPr>
          <w:color w:val="000000" w:themeColor="text1"/>
        </w:rPr>
      </w:pPr>
      <w:r w:rsidRPr="007400C5">
        <w:rPr>
          <w:color w:val="000000" w:themeColor="text1"/>
        </w:rPr>
        <w:t xml:space="preserve">ÇŞB </w:t>
      </w:r>
      <w:r w:rsidR="00F7235D">
        <w:rPr>
          <w:color w:val="000000" w:themeColor="text1"/>
        </w:rPr>
        <w:t xml:space="preserve">sorumluluğundaki </w:t>
      </w:r>
      <w:r w:rsidR="001B091A" w:rsidRPr="007400C5">
        <w:rPr>
          <w:color w:val="000000" w:themeColor="text1"/>
        </w:rPr>
        <w:t>katı yakıtlar ürün grubunda</w:t>
      </w:r>
      <w:r w:rsidR="00F03335">
        <w:rPr>
          <w:color w:val="000000" w:themeColor="text1"/>
        </w:rPr>
        <w:t xml:space="preserve"> 9.084.959 </w:t>
      </w:r>
      <w:r w:rsidRPr="007400C5">
        <w:rPr>
          <w:color w:val="000000" w:themeColor="text1"/>
        </w:rPr>
        <w:t xml:space="preserve">ton ürün denetlenmiştir. </w:t>
      </w:r>
    </w:p>
    <w:p w:rsidR="0020539C" w:rsidRDefault="0020539C" w:rsidP="00BE41A3">
      <w:pPr>
        <w:pStyle w:val="GvdeMetni"/>
        <w:spacing w:after="60"/>
        <w:ind w:firstLine="709"/>
        <w:rPr>
          <w:color w:val="000000" w:themeColor="text1"/>
        </w:rPr>
      </w:pPr>
    </w:p>
    <w:p w:rsidR="009525F6" w:rsidRDefault="009525F6" w:rsidP="00BE41A3">
      <w:pPr>
        <w:pStyle w:val="GvdeMetni"/>
        <w:spacing w:after="60"/>
        <w:ind w:firstLine="709"/>
        <w:rPr>
          <w:color w:val="000000" w:themeColor="text1"/>
        </w:rPr>
      </w:pPr>
    </w:p>
    <w:p w:rsidR="009525F6" w:rsidRDefault="009525F6" w:rsidP="00BE41A3">
      <w:pPr>
        <w:pStyle w:val="GvdeMetni"/>
        <w:spacing w:after="60"/>
        <w:ind w:firstLine="709"/>
        <w:rPr>
          <w:color w:val="000000" w:themeColor="text1"/>
        </w:rPr>
      </w:pPr>
    </w:p>
    <w:p w:rsidR="009525F6" w:rsidRDefault="009525F6" w:rsidP="006A3CE9">
      <w:pPr>
        <w:pStyle w:val="GvdeMetni"/>
        <w:spacing w:after="60"/>
        <w:rPr>
          <w:color w:val="000000" w:themeColor="text1"/>
        </w:rPr>
      </w:pPr>
    </w:p>
    <w:p w:rsidR="00A7469D" w:rsidRDefault="004D1C91" w:rsidP="009525F6">
      <w:pPr>
        <w:pStyle w:val="Balk1"/>
        <w:numPr>
          <w:ilvl w:val="0"/>
          <w:numId w:val="28"/>
        </w:numPr>
        <w:rPr>
          <w:color w:val="000000" w:themeColor="text1"/>
        </w:rPr>
      </w:pPr>
      <w:bookmarkStart w:id="12" w:name="_Toc4892866"/>
      <w:r w:rsidRPr="009525F6">
        <w:rPr>
          <w:color w:val="000000" w:themeColor="text1"/>
        </w:rPr>
        <w:lastRenderedPageBreak/>
        <w:t xml:space="preserve">UYGUNSUZ/GÜVENSİZ ÜRÜN </w:t>
      </w:r>
      <w:r w:rsidR="00F4757F" w:rsidRPr="009525F6">
        <w:rPr>
          <w:color w:val="000000" w:themeColor="text1"/>
        </w:rPr>
        <w:t xml:space="preserve">PARTİ </w:t>
      </w:r>
      <w:r w:rsidRPr="009525F6">
        <w:rPr>
          <w:color w:val="000000" w:themeColor="text1"/>
        </w:rPr>
        <w:t>SAYILARI</w:t>
      </w:r>
      <w:bookmarkEnd w:id="12"/>
    </w:p>
    <w:p w:rsidR="009525F6" w:rsidRPr="009525F6" w:rsidRDefault="009525F6" w:rsidP="009525F6"/>
    <w:p w:rsidR="009525F6" w:rsidRPr="009525F6" w:rsidRDefault="0013690A" w:rsidP="009525F6">
      <w:r>
        <w:rPr>
          <w:noProof/>
          <w:lang w:eastAsia="tr-TR"/>
        </w:rPr>
        <w:drawing>
          <wp:inline distT="0" distB="0" distL="0" distR="0">
            <wp:extent cx="6217920" cy="4442908"/>
            <wp:effectExtent l="0" t="0" r="11430" b="15240"/>
            <wp:docPr id="32"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25F6" w:rsidRDefault="009525F6" w:rsidP="009525F6">
      <w:pPr>
        <w:pStyle w:val="GvdeMetni"/>
        <w:spacing w:after="240"/>
        <w:ind w:firstLine="709"/>
        <w:rPr>
          <w:color w:val="000000" w:themeColor="text1"/>
        </w:rPr>
      </w:pPr>
    </w:p>
    <w:p w:rsidR="004A7F1B" w:rsidRPr="004A7F1B" w:rsidRDefault="00F03335" w:rsidP="009525F6">
      <w:pPr>
        <w:pStyle w:val="GvdeMetni"/>
        <w:spacing w:after="240"/>
        <w:ind w:firstLine="709"/>
        <w:rPr>
          <w:color w:val="000000" w:themeColor="text1"/>
        </w:rPr>
      </w:pPr>
      <w:r>
        <w:rPr>
          <w:color w:val="000000" w:themeColor="text1"/>
        </w:rPr>
        <w:t>Denetlenen ürünlerde tespit edilen uygunsuzluk ve güvensizliğin toplamının</w:t>
      </w:r>
      <w:r w:rsidR="008408F9" w:rsidRPr="008408F9">
        <w:rPr>
          <w:color w:val="000000" w:themeColor="text1"/>
        </w:rPr>
        <w:t xml:space="preserve"> oranı </w:t>
      </w:r>
      <w:r w:rsidR="008408F9" w:rsidRPr="00012D25">
        <w:rPr>
          <w:color w:val="000000" w:themeColor="text1"/>
        </w:rPr>
        <w:t>201</w:t>
      </w:r>
      <w:r>
        <w:rPr>
          <w:color w:val="000000" w:themeColor="text1"/>
        </w:rPr>
        <w:t>8</w:t>
      </w:r>
      <w:r w:rsidR="008408F9" w:rsidRPr="00012D25">
        <w:rPr>
          <w:color w:val="000000" w:themeColor="text1"/>
        </w:rPr>
        <w:t xml:space="preserve"> senesinde %</w:t>
      </w:r>
      <w:r>
        <w:rPr>
          <w:color w:val="000000" w:themeColor="text1"/>
        </w:rPr>
        <w:t>19</w:t>
      </w:r>
      <w:r w:rsidR="006554D9">
        <w:rPr>
          <w:color w:val="000000" w:themeColor="text1"/>
        </w:rPr>
        <w:t xml:space="preserve"> iken 201</w:t>
      </w:r>
      <w:r>
        <w:rPr>
          <w:color w:val="000000" w:themeColor="text1"/>
        </w:rPr>
        <w:t>9</w:t>
      </w:r>
      <w:r w:rsidR="008408F9" w:rsidRPr="00012D25">
        <w:rPr>
          <w:color w:val="000000" w:themeColor="text1"/>
        </w:rPr>
        <w:t>’</w:t>
      </w:r>
      <w:r w:rsidR="00C41ED7">
        <w:rPr>
          <w:color w:val="000000" w:themeColor="text1"/>
        </w:rPr>
        <w:t>d</w:t>
      </w:r>
      <w:r>
        <w:rPr>
          <w:color w:val="000000" w:themeColor="text1"/>
        </w:rPr>
        <w:t>a</w:t>
      </w:r>
      <w:r w:rsidR="00B34F25">
        <w:rPr>
          <w:color w:val="000000" w:themeColor="text1"/>
        </w:rPr>
        <w:t xml:space="preserve"> </w:t>
      </w:r>
      <w:r w:rsidR="00C41ED7">
        <w:rPr>
          <w:color w:val="000000" w:themeColor="text1"/>
        </w:rPr>
        <w:t>%</w:t>
      </w:r>
      <w:r w:rsidR="000312CE">
        <w:rPr>
          <w:color w:val="000000" w:themeColor="text1"/>
        </w:rPr>
        <w:t>1</w:t>
      </w:r>
      <w:r>
        <w:rPr>
          <w:color w:val="000000" w:themeColor="text1"/>
        </w:rPr>
        <w:t>2’ye</w:t>
      </w:r>
      <w:r w:rsidR="00C41ED7">
        <w:rPr>
          <w:color w:val="000000" w:themeColor="text1"/>
        </w:rPr>
        <w:t xml:space="preserve"> düşmüştür. </w:t>
      </w:r>
      <w:r w:rsidR="00852023">
        <w:rPr>
          <w:color w:val="000000" w:themeColor="text1"/>
        </w:rPr>
        <w:t xml:space="preserve">Öte </w:t>
      </w:r>
      <w:r>
        <w:rPr>
          <w:color w:val="000000" w:themeColor="text1"/>
        </w:rPr>
        <w:t xml:space="preserve">yandan toplam uygunsuz ve </w:t>
      </w:r>
      <w:r w:rsidR="00852023" w:rsidRPr="008B2319">
        <w:rPr>
          <w:color w:val="000000" w:themeColor="text1"/>
        </w:rPr>
        <w:t xml:space="preserve">güvensiz bulunan ürün parti sayısı </w:t>
      </w:r>
      <w:r>
        <w:rPr>
          <w:color w:val="000000" w:themeColor="text1"/>
        </w:rPr>
        <w:t>33.403’t</w:t>
      </w:r>
      <w:r w:rsidR="00852023" w:rsidRPr="008B2319">
        <w:rPr>
          <w:color w:val="000000" w:themeColor="text1"/>
        </w:rPr>
        <w:t xml:space="preserve">en </w:t>
      </w:r>
      <w:r>
        <w:rPr>
          <w:color w:val="000000" w:themeColor="text1"/>
        </w:rPr>
        <w:t>31.23</w:t>
      </w:r>
      <w:r w:rsidR="0033246D" w:rsidRPr="008B2319">
        <w:rPr>
          <w:color w:val="000000" w:themeColor="text1"/>
        </w:rPr>
        <w:t xml:space="preserve">3’e </w:t>
      </w:r>
      <w:r w:rsidR="006C21F7" w:rsidRPr="008B2319">
        <w:rPr>
          <w:color w:val="000000" w:themeColor="text1"/>
        </w:rPr>
        <w:t>düşerek %</w:t>
      </w:r>
      <w:r>
        <w:rPr>
          <w:color w:val="000000" w:themeColor="text1"/>
        </w:rPr>
        <w:t>6</w:t>
      </w:r>
      <w:r w:rsidR="00852023" w:rsidRPr="008B2319">
        <w:rPr>
          <w:color w:val="000000" w:themeColor="text1"/>
        </w:rPr>
        <w:t xml:space="preserve"> oranında azalmıştır.</w:t>
      </w:r>
      <w:r w:rsidR="00B34F25">
        <w:rPr>
          <w:color w:val="000000" w:themeColor="text1"/>
        </w:rPr>
        <w:t xml:space="preserve"> </w:t>
      </w:r>
      <w:r w:rsidR="004A7F1B" w:rsidRPr="008B2319">
        <w:rPr>
          <w:color w:val="000000" w:themeColor="text1"/>
        </w:rPr>
        <w:t xml:space="preserve">Diğer taraftan denetlenen ürünler içerisinde güvensiz bulunanların oranı </w:t>
      </w:r>
      <w:r w:rsidR="005C2509" w:rsidRPr="008B2319">
        <w:rPr>
          <w:color w:val="000000" w:themeColor="text1"/>
        </w:rPr>
        <w:t xml:space="preserve">%1 olmuş, bir önceki yıla kıyasla bir değişiklik olmamıştır. Bir önceki yılda güvensiz ürün parti sayısı </w:t>
      </w:r>
      <w:r>
        <w:rPr>
          <w:color w:val="000000" w:themeColor="text1"/>
        </w:rPr>
        <w:t>1.153 iken, 2019</w:t>
      </w:r>
      <w:r w:rsidR="005C2509" w:rsidRPr="008B2319">
        <w:rPr>
          <w:color w:val="000000" w:themeColor="text1"/>
        </w:rPr>
        <w:t xml:space="preserve"> yılında bu sayı </w:t>
      </w:r>
      <w:r>
        <w:rPr>
          <w:color w:val="000000" w:themeColor="text1"/>
        </w:rPr>
        <w:t>1.830’a</w:t>
      </w:r>
      <w:r w:rsidR="00B34F25">
        <w:rPr>
          <w:color w:val="000000" w:themeColor="text1"/>
        </w:rPr>
        <w:t xml:space="preserve"> </w:t>
      </w:r>
      <w:r w:rsidR="005C2509" w:rsidRPr="008B2319">
        <w:rPr>
          <w:color w:val="000000" w:themeColor="text1"/>
        </w:rPr>
        <w:t xml:space="preserve">yükselmiştir. </w:t>
      </w:r>
      <w:r w:rsidR="004A7F1B" w:rsidRPr="008B2319">
        <w:rPr>
          <w:color w:val="000000" w:themeColor="text1"/>
        </w:rPr>
        <w:t>Güven</w:t>
      </w:r>
      <w:r w:rsidR="007D6FBE" w:rsidRPr="008B2319">
        <w:rPr>
          <w:color w:val="000000" w:themeColor="text1"/>
        </w:rPr>
        <w:t>s</w:t>
      </w:r>
      <w:r w:rsidR="004A7F1B" w:rsidRPr="008B2319">
        <w:rPr>
          <w:color w:val="000000" w:themeColor="text1"/>
        </w:rPr>
        <w:t xml:space="preserve">izlik tespiti son derece sınırlı olmakla birlikte bu artışın olumlu bir değişim olduğu ifade edilebilir. Ancak güvensiz olduğu tespit edilen ürün sayısı halen çok düşüktür. Bu duruma ilişkin </w:t>
      </w:r>
      <w:r w:rsidR="004A7F1B">
        <w:rPr>
          <w:color w:val="000000" w:themeColor="text1"/>
        </w:rPr>
        <w:t xml:space="preserve">olarak iki yorumun olası olduğu değerlendirilmektedir. </w:t>
      </w:r>
    </w:p>
    <w:p w:rsidR="005C2509" w:rsidRPr="005C2509" w:rsidRDefault="004A7F1B" w:rsidP="000E72F7">
      <w:pPr>
        <w:spacing w:after="240"/>
        <w:ind w:firstLine="709"/>
        <w:jc w:val="both"/>
        <w:rPr>
          <w:color w:val="000000" w:themeColor="text1"/>
        </w:rPr>
      </w:pPr>
      <w:r>
        <w:rPr>
          <w:color w:val="000000" w:themeColor="text1"/>
        </w:rPr>
        <w:t>İlk olarak</w:t>
      </w:r>
      <w:r w:rsidR="00E51EEE">
        <w:rPr>
          <w:color w:val="000000" w:themeColor="text1"/>
        </w:rPr>
        <w:t>;</w:t>
      </w:r>
      <w:r>
        <w:rPr>
          <w:color w:val="000000" w:themeColor="text1"/>
        </w:rPr>
        <w:t xml:space="preserve"> tespit edilen güvensizlik oranlarının düşük </w:t>
      </w:r>
      <w:proofErr w:type="spellStart"/>
      <w:proofErr w:type="gramStart"/>
      <w:r>
        <w:rPr>
          <w:color w:val="000000" w:themeColor="text1"/>
        </w:rPr>
        <w:t>olması</w:t>
      </w:r>
      <w:r w:rsidR="00E51EEE">
        <w:rPr>
          <w:color w:val="000000" w:themeColor="text1"/>
        </w:rPr>
        <w:t>,</w:t>
      </w:r>
      <w:r w:rsidRPr="004A7F1B">
        <w:rPr>
          <w:color w:val="000000" w:themeColor="text1"/>
        </w:rPr>
        <w:t>ülkemiz</w:t>
      </w:r>
      <w:proofErr w:type="spellEnd"/>
      <w:proofErr w:type="gramEnd"/>
      <w:r w:rsidRPr="004A7F1B">
        <w:rPr>
          <w:color w:val="000000" w:themeColor="text1"/>
        </w:rPr>
        <w:t xml:space="preserve"> piyasası</w:t>
      </w:r>
      <w:r w:rsidR="00726C93">
        <w:rPr>
          <w:color w:val="000000" w:themeColor="text1"/>
        </w:rPr>
        <w:t>nın</w:t>
      </w:r>
      <w:r w:rsidRPr="004A7F1B">
        <w:rPr>
          <w:color w:val="000000" w:themeColor="text1"/>
        </w:rPr>
        <w:t xml:space="preserve"> son derece disipline</w:t>
      </w:r>
      <w:r>
        <w:rPr>
          <w:color w:val="000000" w:themeColor="text1"/>
        </w:rPr>
        <w:t xml:space="preserve"> olduğu</w:t>
      </w:r>
      <w:r w:rsidR="00726C93">
        <w:rPr>
          <w:color w:val="000000" w:themeColor="text1"/>
        </w:rPr>
        <w:t xml:space="preserve">, </w:t>
      </w:r>
      <w:r>
        <w:rPr>
          <w:color w:val="000000" w:themeColor="text1"/>
        </w:rPr>
        <w:t>ü</w:t>
      </w:r>
      <w:r w:rsidRPr="004A7F1B">
        <w:rPr>
          <w:color w:val="000000" w:themeColor="text1"/>
        </w:rPr>
        <w:t>retilen ve</w:t>
      </w:r>
      <w:r w:rsidR="00726C93">
        <w:rPr>
          <w:color w:val="000000" w:themeColor="text1"/>
        </w:rPr>
        <w:t>ya</w:t>
      </w:r>
      <w:r w:rsidRPr="004A7F1B">
        <w:rPr>
          <w:color w:val="000000" w:themeColor="text1"/>
        </w:rPr>
        <w:t xml:space="preserve"> ithal edilerek yurda giren ürünlerin büyük çoğu</w:t>
      </w:r>
      <w:r>
        <w:rPr>
          <w:color w:val="000000" w:themeColor="text1"/>
        </w:rPr>
        <w:t xml:space="preserve">nluğunun </w:t>
      </w:r>
      <w:r w:rsidRPr="004A7F1B">
        <w:rPr>
          <w:color w:val="000000" w:themeColor="text1"/>
        </w:rPr>
        <w:t>güvenli</w:t>
      </w:r>
      <w:r>
        <w:rPr>
          <w:color w:val="000000" w:themeColor="text1"/>
        </w:rPr>
        <w:t xml:space="preserve"> olduğu ve </w:t>
      </w:r>
      <w:r w:rsidRPr="000A0093">
        <w:rPr>
          <w:color w:val="000000" w:themeColor="text1"/>
        </w:rPr>
        <w:t>tüketici için tehlike arz etmediği</w:t>
      </w:r>
      <w:r w:rsidR="00E51EEE" w:rsidRPr="000A0093">
        <w:rPr>
          <w:color w:val="000000" w:themeColor="text1"/>
        </w:rPr>
        <w:t xml:space="preserve">nin göstergesi olarak </w:t>
      </w:r>
      <w:r w:rsidRPr="000A0093">
        <w:rPr>
          <w:color w:val="000000" w:themeColor="text1"/>
        </w:rPr>
        <w:t>değerlendirilebilec</w:t>
      </w:r>
      <w:r w:rsidR="00726C93" w:rsidRPr="000A0093">
        <w:rPr>
          <w:color w:val="000000" w:themeColor="text1"/>
        </w:rPr>
        <w:t>e</w:t>
      </w:r>
      <w:r w:rsidRPr="000A0093">
        <w:rPr>
          <w:color w:val="000000" w:themeColor="text1"/>
        </w:rPr>
        <w:t>ktir. Ancak ülkemizdeki mevcut durum ve ulusal ve y</w:t>
      </w:r>
      <w:r w:rsidR="00E51EEE" w:rsidRPr="000A0093">
        <w:rPr>
          <w:color w:val="000000" w:themeColor="text1"/>
        </w:rPr>
        <w:t xml:space="preserve">erel medyada yer alan haberler </w:t>
      </w:r>
      <w:r w:rsidRPr="000A0093">
        <w:rPr>
          <w:color w:val="000000" w:themeColor="text1"/>
        </w:rPr>
        <w:t xml:space="preserve">göz önüne alındığında bu yorumun gerçek </w:t>
      </w:r>
      <w:r w:rsidR="00726C93" w:rsidRPr="000A0093">
        <w:rPr>
          <w:color w:val="000000" w:themeColor="text1"/>
        </w:rPr>
        <w:t>durumu</w:t>
      </w:r>
      <w:r w:rsidRPr="000A0093">
        <w:rPr>
          <w:color w:val="000000" w:themeColor="text1"/>
        </w:rPr>
        <w:t xml:space="preserve"> yansıtma</w:t>
      </w:r>
      <w:r w:rsidR="00E51EEE" w:rsidRPr="000A0093">
        <w:rPr>
          <w:color w:val="000000" w:themeColor="text1"/>
        </w:rPr>
        <w:t>dığı görülecektir</w:t>
      </w:r>
      <w:r w:rsidR="00726C93" w:rsidRPr="000A0093">
        <w:rPr>
          <w:color w:val="000000" w:themeColor="text1"/>
        </w:rPr>
        <w:t xml:space="preserve">. </w:t>
      </w:r>
      <w:r w:rsidRPr="000A0093">
        <w:rPr>
          <w:color w:val="000000" w:themeColor="text1"/>
        </w:rPr>
        <w:t>Bu kapsamda</w:t>
      </w:r>
      <w:r w:rsidR="00E51EEE" w:rsidRPr="000A0093">
        <w:rPr>
          <w:color w:val="000000" w:themeColor="text1"/>
        </w:rPr>
        <w:t>,</w:t>
      </w:r>
      <w:r w:rsidRPr="000A0093">
        <w:rPr>
          <w:color w:val="000000" w:themeColor="text1"/>
        </w:rPr>
        <w:t xml:space="preserve"> güvensiz ürünlerin tespitindeki düşüklüğün ülkemiz</w:t>
      </w:r>
      <w:r w:rsidRPr="004A7F1B">
        <w:rPr>
          <w:color w:val="000000" w:themeColor="text1"/>
        </w:rPr>
        <w:t xml:space="preserve"> PGD sistemi</w:t>
      </w:r>
      <w:r w:rsidR="001F4F19">
        <w:rPr>
          <w:color w:val="000000" w:themeColor="text1"/>
        </w:rPr>
        <w:t>nin</w:t>
      </w:r>
      <w:r w:rsidRPr="004A7F1B">
        <w:rPr>
          <w:color w:val="000000" w:themeColor="text1"/>
        </w:rPr>
        <w:t xml:space="preserve"> güvensiz ürünleri tespit etme konusunda yeterli etkinlikte </w:t>
      </w:r>
      <w:r>
        <w:rPr>
          <w:color w:val="000000" w:themeColor="text1"/>
        </w:rPr>
        <w:t>olmamasından kaynak</w:t>
      </w:r>
      <w:r w:rsidR="000E72F7">
        <w:rPr>
          <w:color w:val="000000" w:themeColor="text1"/>
        </w:rPr>
        <w:t xml:space="preserve">landığı değerlendirilmektedir. </w:t>
      </w:r>
    </w:p>
    <w:p w:rsidR="008408F9" w:rsidRPr="000A0093" w:rsidRDefault="00C41ED7" w:rsidP="00BE41A3">
      <w:pPr>
        <w:spacing w:after="240"/>
        <w:ind w:firstLine="709"/>
        <w:jc w:val="both"/>
        <w:rPr>
          <w:color w:val="000000" w:themeColor="text1"/>
        </w:rPr>
      </w:pPr>
      <w:r w:rsidRPr="0018303E">
        <w:rPr>
          <w:color w:val="000000" w:themeColor="text1"/>
        </w:rPr>
        <w:t>201</w:t>
      </w:r>
      <w:r w:rsidR="00F03335">
        <w:rPr>
          <w:color w:val="000000" w:themeColor="text1"/>
        </w:rPr>
        <w:t>9</w:t>
      </w:r>
      <w:r w:rsidR="0053638A">
        <w:rPr>
          <w:color w:val="000000" w:themeColor="text1"/>
        </w:rPr>
        <w:t xml:space="preserve"> </w:t>
      </w:r>
      <w:r w:rsidRPr="000A0093">
        <w:rPr>
          <w:color w:val="000000" w:themeColor="text1"/>
        </w:rPr>
        <w:t xml:space="preserve">senesinde gerçekleştirilen denetimlerde tespit edilen </w:t>
      </w:r>
      <w:r w:rsidR="00F03335">
        <w:rPr>
          <w:color w:val="000000" w:themeColor="text1"/>
        </w:rPr>
        <w:t xml:space="preserve">uygunsuzluk ve </w:t>
      </w:r>
      <w:r w:rsidR="008408F9" w:rsidRPr="000A0093">
        <w:rPr>
          <w:color w:val="000000" w:themeColor="text1"/>
        </w:rPr>
        <w:t>güvensizlik</w:t>
      </w:r>
      <w:r w:rsidRPr="000A0093">
        <w:rPr>
          <w:color w:val="000000" w:themeColor="text1"/>
        </w:rPr>
        <w:t xml:space="preserve">lere </w:t>
      </w:r>
      <w:r w:rsidR="008408F9" w:rsidRPr="000A0093">
        <w:rPr>
          <w:color w:val="000000" w:themeColor="text1"/>
        </w:rPr>
        <w:t xml:space="preserve">ilişkin </w:t>
      </w:r>
      <w:r w:rsidR="004A7F1B" w:rsidRPr="000A0093">
        <w:rPr>
          <w:color w:val="000000" w:themeColor="text1"/>
        </w:rPr>
        <w:t xml:space="preserve">diğer </w:t>
      </w:r>
      <w:r w:rsidR="00E51EEE" w:rsidRPr="000A0093">
        <w:rPr>
          <w:color w:val="000000" w:themeColor="text1"/>
        </w:rPr>
        <w:t>değerlendir</w:t>
      </w:r>
      <w:r w:rsidR="008408F9" w:rsidRPr="000A0093">
        <w:rPr>
          <w:color w:val="000000" w:themeColor="text1"/>
        </w:rPr>
        <w:t xml:space="preserve">melere aşağıda yer verilmektedir: </w:t>
      </w:r>
    </w:p>
    <w:p w:rsidR="00FA343D" w:rsidRPr="0018303E" w:rsidRDefault="008E6D62" w:rsidP="00BE41A3">
      <w:pPr>
        <w:pStyle w:val="ListeParagraf"/>
        <w:numPr>
          <w:ilvl w:val="0"/>
          <w:numId w:val="19"/>
        </w:numPr>
        <w:spacing w:after="240"/>
        <w:ind w:left="0" w:firstLine="0"/>
        <w:jc w:val="both"/>
        <w:rPr>
          <w:bCs/>
        </w:rPr>
      </w:pPr>
      <w:r w:rsidRPr="0017664A">
        <w:rPr>
          <w:bCs/>
        </w:rPr>
        <w:t>STB tarafından tespit edilen uygunsuz ürün</w:t>
      </w:r>
      <w:r w:rsidR="00C32CC7">
        <w:rPr>
          <w:bCs/>
        </w:rPr>
        <w:t xml:space="preserve"> partisi</w:t>
      </w:r>
      <w:r w:rsidRPr="0017664A">
        <w:rPr>
          <w:bCs/>
        </w:rPr>
        <w:t xml:space="preserve"> sayısı </w:t>
      </w:r>
      <w:r w:rsidR="00162D29" w:rsidRPr="0017664A">
        <w:rPr>
          <w:bCs/>
        </w:rPr>
        <w:t>201</w:t>
      </w:r>
      <w:r w:rsidR="00F03335" w:rsidRPr="0017664A">
        <w:rPr>
          <w:bCs/>
        </w:rPr>
        <w:t>9</w:t>
      </w:r>
      <w:r w:rsidRPr="0017664A">
        <w:rPr>
          <w:bCs/>
        </w:rPr>
        <w:t xml:space="preserve">yılında </w:t>
      </w:r>
      <w:r w:rsidR="00162D29" w:rsidRPr="0017664A">
        <w:rPr>
          <w:bCs/>
        </w:rPr>
        <w:t xml:space="preserve"> %</w:t>
      </w:r>
      <w:r w:rsidR="00F03335" w:rsidRPr="0017664A">
        <w:rPr>
          <w:bCs/>
        </w:rPr>
        <w:t>14</w:t>
      </w:r>
      <w:r w:rsidR="00162D29" w:rsidRPr="0017664A">
        <w:rPr>
          <w:bCs/>
        </w:rPr>
        <w:t xml:space="preserve"> oranında </w:t>
      </w:r>
      <w:r w:rsidR="00E17A9B" w:rsidRPr="0017664A">
        <w:rPr>
          <w:bCs/>
        </w:rPr>
        <w:t>azalma</w:t>
      </w:r>
      <w:r w:rsidRPr="0017664A">
        <w:rPr>
          <w:bCs/>
        </w:rPr>
        <w:t xml:space="preserve"> göstermiş ve </w:t>
      </w:r>
      <w:r w:rsidR="00F03335" w:rsidRPr="0017664A">
        <w:rPr>
          <w:bCs/>
        </w:rPr>
        <w:t>21.817</w:t>
      </w:r>
      <w:r w:rsidRPr="0017664A">
        <w:rPr>
          <w:bCs/>
        </w:rPr>
        <w:t>’</w:t>
      </w:r>
      <w:r w:rsidR="00F03335" w:rsidRPr="0017664A">
        <w:rPr>
          <w:bCs/>
        </w:rPr>
        <w:t>de</w:t>
      </w:r>
      <w:r w:rsidR="00162D29" w:rsidRPr="0017664A">
        <w:rPr>
          <w:bCs/>
        </w:rPr>
        <w:t>n</w:t>
      </w:r>
      <w:r w:rsidR="00F03335" w:rsidRPr="0017664A">
        <w:rPr>
          <w:bCs/>
        </w:rPr>
        <w:t xml:space="preserve"> 18.682</w:t>
      </w:r>
      <w:r w:rsidR="00E83F10" w:rsidRPr="0017664A">
        <w:rPr>
          <w:bCs/>
        </w:rPr>
        <w:t>’y</w:t>
      </w:r>
      <w:r w:rsidR="00F03335" w:rsidRPr="0017664A">
        <w:rPr>
          <w:bCs/>
        </w:rPr>
        <w:t>e</w:t>
      </w:r>
      <w:r w:rsidR="00645C67">
        <w:rPr>
          <w:bCs/>
        </w:rPr>
        <w:t xml:space="preserve"> </w:t>
      </w:r>
      <w:r w:rsidR="00E17A9B" w:rsidRPr="0017664A">
        <w:rPr>
          <w:bCs/>
        </w:rPr>
        <w:t>düşmüştür.</w:t>
      </w:r>
      <w:r w:rsidR="00645C67">
        <w:rPr>
          <w:bCs/>
        </w:rPr>
        <w:t xml:space="preserve"> </w:t>
      </w:r>
      <w:r w:rsidRPr="000A0093">
        <w:rPr>
          <w:bCs/>
        </w:rPr>
        <w:t>201</w:t>
      </w:r>
      <w:r w:rsidR="0017664A">
        <w:rPr>
          <w:bCs/>
        </w:rPr>
        <w:t xml:space="preserve">9 </w:t>
      </w:r>
      <w:r w:rsidR="00E83F10">
        <w:rPr>
          <w:bCs/>
        </w:rPr>
        <w:t xml:space="preserve">yılında </w:t>
      </w:r>
      <w:r w:rsidRPr="000A0093">
        <w:rPr>
          <w:bCs/>
        </w:rPr>
        <w:t xml:space="preserve">en çok ürün partisi denetleyen kuruluş </w:t>
      </w:r>
      <w:r w:rsidRPr="000A0093">
        <w:rPr>
          <w:bCs/>
        </w:rPr>
        <w:lastRenderedPageBreak/>
        <w:t>olan STB, uygunsuzluk tespit oranının en yüksek olduğu</w:t>
      </w:r>
      <w:r w:rsidR="00645C67">
        <w:rPr>
          <w:bCs/>
        </w:rPr>
        <w:t xml:space="preserve"> </w:t>
      </w:r>
      <w:r w:rsidRPr="000A0093">
        <w:rPr>
          <w:bCs/>
        </w:rPr>
        <w:t>kuruluş olmuştur. Bakanlı</w:t>
      </w:r>
      <w:r w:rsidR="00162D29" w:rsidRPr="000A0093">
        <w:rPr>
          <w:bCs/>
        </w:rPr>
        <w:t>ğın</w:t>
      </w:r>
      <w:r w:rsidRPr="000A0093">
        <w:rPr>
          <w:bCs/>
        </w:rPr>
        <w:t xml:space="preserve"> 201</w:t>
      </w:r>
      <w:r w:rsidR="0017664A">
        <w:rPr>
          <w:bCs/>
        </w:rPr>
        <w:t>8</w:t>
      </w:r>
      <w:r w:rsidRPr="000A0093">
        <w:rPr>
          <w:bCs/>
        </w:rPr>
        <w:t xml:space="preserve"> senesinde %</w:t>
      </w:r>
      <w:r w:rsidR="00244032">
        <w:rPr>
          <w:bCs/>
        </w:rPr>
        <w:t>3</w:t>
      </w:r>
      <w:r w:rsidR="0017664A">
        <w:rPr>
          <w:bCs/>
        </w:rPr>
        <w:t>3</w:t>
      </w:r>
      <w:r w:rsidR="00645C67">
        <w:rPr>
          <w:bCs/>
        </w:rPr>
        <w:t xml:space="preserve"> </w:t>
      </w:r>
      <w:r w:rsidRPr="000A0093">
        <w:rPr>
          <w:bCs/>
        </w:rPr>
        <w:t>olan bu oranı 201</w:t>
      </w:r>
      <w:r w:rsidR="0017664A">
        <w:rPr>
          <w:bCs/>
        </w:rPr>
        <w:t>9</w:t>
      </w:r>
      <w:r w:rsidR="00162D29" w:rsidRPr="000A0093">
        <w:rPr>
          <w:bCs/>
        </w:rPr>
        <w:t xml:space="preserve"> yılında </w:t>
      </w:r>
      <w:r w:rsidRPr="000A0093">
        <w:rPr>
          <w:bCs/>
        </w:rPr>
        <w:t>%</w:t>
      </w:r>
      <w:r w:rsidR="0017664A">
        <w:rPr>
          <w:bCs/>
        </w:rPr>
        <w:t>26</w:t>
      </w:r>
      <w:r w:rsidRPr="000A0093">
        <w:rPr>
          <w:bCs/>
        </w:rPr>
        <w:t>’</w:t>
      </w:r>
      <w:r w:rsidR="0017664A">
        <w:rPr>
          <w:bCs/>
        </w:rPr>
        <w:t>ya</w:t>
      </w:r>
      <w:r w:rsidR="00645C67">
        <w:rPr>
          <w:bCs/>
        </w:rPr>
        <w:t xml:space="preserve"> </w:t>
      </w:r>
      <w:r w:rsidR="00162D29" w:rsidRPr="000A0093">
        <w:rPr>
          <w:bCs/>
        </w:rPr>
        <w:t>düşmüştür</w:t>
      </w:r>
      <w:r w:rsidRPr="000A0093">
        <w:rPr>
          <w:bCs/>
        </w:rPr>
        <w:t>.</w:t>
      </w:r>
      <w:r w:rsidR="005078C2">
        <w:rPr>
          <w:bCs/>
        </w:rPr>
        <w:t xml:space="preserve"> Denetlenen parti sayısının bu kadar yüksek olmasında enerji verimliliği denetimlerinin ciddi oranda artarak 2.890’dan 9.400’e çıkması etkili olmuştur.</w:t>
      </w:r>
    </w:p>
    <w:p w:rsidR="00992625" w:rsidRDefault="00683D71" w:rsidP="00BE41A3">
      <w:pPr>
        <w:spacing w:after="240"/>
        <w:ind w:firstLine="709"/>
        <w:jc w:val="both"/>
        <w:rPr>
          <w:bCs/>
        </w:rPr>
      </w:pPr>
      <w:r w:rsidRPr="00665D51">
        <w:rPr>
          <w:bCs/>
        </w:rPr>
        <w:t xml:space="preserve">Bunun dışında, Bakanlığın sorumluluk alanına giren ürünlerden </w:t>
      </w:r>
      <w:r w:rsidR="00CB1C2D" w:rsidRPr="00665D51">
        <w:rPr>
          <w:bCs/>
        </w:rPr>
        <w:t xml:space="preserve">bazıları </w:t>
      </w:r>
      <w:r w:rsidRPr="00665D51">
        <w:rPr>
          <w:bCs/>
        </w:rPr>
        <w:t xml:space="preserve">denetim verileri </w:t>
      </w:r>
      <w:r w:rsidR="00CB1C2D" w:rsidRPr="00665D51">
        <w:rPr>
          <w:bCs/>
        </w:rPr>
        <w:t>itibarıyla dikkat çekmektedir.</w:t>
      </w:r>
      <w:r w:rsidR="00C32CC7">
        <w:rPr>
          <w:bCs/>
        </w:rPr>
        <w:t xml:space="preserve"> Taşınabilir basınçlı </w:t>
      </w:r>
      <w:proofErr w:type="gramStart"/>
      <w:r w:rsidR="00C32CC7">
        <w:rPr>
          <w:bCs/>
        </w:rPr>
        <w:t>ekipmanlarda</w:t>
      </w:r>
      <w:proofErr w:type="gramEnd"/>
      <w:r w:rsidR="00C32CC7">
        <w:rPr>
          <w:bCs/>
        </w:rPr>
        <w:t xml:space="preserve"> 13.475 adet ürün partisi denetlenmiş, 39 güvensizlik ve 10.402 uygunsuzluk tespit edilmiştir. Bu kapsamda taşınabilir basınçlı </w:t>
      </w:r>
      <w:proofErr w:type="gramStart"/>
      <w:r w:rsidR="00C32CC7">
        <w:rPr>
          <w:bCs/>
        </w:rPr>
        <w:t>ekipmanlar</w:t>
      </w:r>
      <w:proofErr w:type="gramEnd"/>
      <w:r w:rsidR="00C32CC7">
        <w:rPr>
          <w:bCs/>
        </w:rPr>
        <w:t xml:space="preserve"> denetlenen bütün ürünler içerisindeki en fazla uygunsuzluk tespitinin yapıldığı ürün grubu olmuştur. Bakanlıkça </w:t>
      </w:r>
      <w:r w:rsidR="00DF565D">
        <w:rPr>
          <w:bCs/>
        </w:rPr>
        <w:t>tespit edilen uygunsuzlukların %56</w:t>
      </w:r>
      <w:r w:rsidR="00C32CC7">
        <w:rPr>
          <w:bCs/>
        </w:rPr>
        <w:t>’</w:t>
      </w:r>
      <w:r w:rsidR="00DF565D">
        <w:rPr>
          <w:bCs/>
        </w:rPr>
        <w:t>sını</w:t>
      </w:r>
      <w:r w:rsidR="00C32CC7">
        <w:rPr>
          <w:bCs/>
        </w:rPr>
        <w:t xml:space="preserve">, </w:t>
      </w:r>
      <w:r w:rsidR="00992625">
        <w:rPr>
          <w:bCs/>
        </w:rPr>
        <w:t xml:space="preserve">bütün kuruluşlarca tespit edilen uygunsuzlukların %35’ini </w:t>
      </w:r>
      <w:r w:rsidR="00DF565D">
        <w:rPr>
          <w:bCs/>
        </w:rPr>
        <w:t xml:space="preserve">taşınabilir basınçlı </w:t>
      </w:r>
      <w:proofErr w:type="gramStart"/>
      <w:r w:rsidR="00DF565D">
        <w:rPr>
          <w:bCs/>
        </w:rPr>
        <w:t>ekipmanlardaki</w:t>
      </w:r>
      <w:proofErr w:type="gramEnd"/>
      <w:r w:rsidR="00DF565D">
        <w:rPr>
          <w:bCs/>
        </w:rPr>
        <w:t xml:space="preserve"> uygunsuzluklar </w:t>
      </w:r>
      <w:r w:rsidR="00992625">
        <w:rPr>
          <w:bCs/>
        </w:rPr>
        <w:t>oluşturmuştur.</w:t>
      </w:r>
    </w:p>
    <w:p w:rsidR="008E6D62" w:rsidRPr="003F6F5A" w:rsidRDefault="00C7131D" w:rsidP="00BE41A3">
      <w:pPr>
        <w:spacing w:after="240"/>
        <w:ind w:firstLine="709"/>
        <w:jc w:val="both"/>
      </w:pPr>
      <w:r w:rsidRPr="00665D51">
        <w:rPr>
          <w:bCs/>
        </w:rPr>
        <w:t>Çoğunlukla işaret, etiket, görsel kontrolleri yapılan pil ve akümülatörlere yönelik denetimler</w:t>
      </w:r>
      <w:r w:rsidR="00190F1E" w:rsidRPr="00665D51">
        <w:rPr>
          <w:bCs/>
        </w:rPr>
        <w:t>e ilişkin verilere</w:t>
      </w:r>
      <w:r w:rsidRPr="00665D51">
        <w:rPr>
          <w:bCs/>
        </w:rPr>
        <w:t xml:space="preserve"> göre</w:t>
      </w:r>
      <w:r w:rsidR="00190F1E" w:rsidRPr="00665D51">
        <w:rPr>
          <w:bCs/>
        </w:rPr>
        <w:t>;</w:t>
      </w:r>
      <w:r w:rsidRPr="00665D51">
        <w:rPr>
          <w:bCs/>
        </w:rPr>
        <w:t xml:space="preserve"> 201</w:t>
      </w:r>
      <w:r w:rsidR="005078C2" w:rsidRPr="00665D51">
        <w:rPr>
          <w:bCs/>
        </w:rPr>
        <w:t>9</w:t>
      </w:r>
      <w:r w:rsidRPr="00665D51">
        <w:rPr>
          <w:bCs/>
        </w:rPr>
        <w:t xml:space="preserve"> yılında Bakanlıkça </w:t>
      </w:r>
      <w:r w:rsidR="005078C2" w:rsidRPr="00665D51">
        <w:rPr>
          <w:bCs/>
        </w:rPr>
        <w:t>3.408</w:t>
      </w:r>
      <w:r w:rsidR="008E6D62" w:rsidRPr="00665D51">
        <w:rPr>
          <w:bCs/>
        </w:rPr>
        <w:t xml:space="preserve">parti pil ve akümülatör denetlenmiş, bunlar içerisinde herhangi bir güvensizliğe rastlanmamış, yalnızca </w:t>
      </w:r>
      <w:r w:rsidR="005078C2" w:rsidRPr="00665D51">
        <w:rPr>
          <w:bCs/>
        </w:rPr>
        <w:t xml:space="preserve">54 </w:t>
      </w:r>
      <w:r w:rsidR="008E6D62" w:rsidRPr="00665D51">
        <w:rPr>
          <w:bCs/>
        </w:rPr>
        <w:t>ürün</w:t>
      </w:r>
      <w:r w:rsidR="005078C2" w:rsidRPr="00665D51">
        <w:rPr>
          <w:bCs/>
        </w:rPr>
        <w:t xml:space="preserve"> partisi</w:t>
      </w:r>
      <w:r w:rsidR="008E6D62" w:rsidRPr="00665D51">
        <w:rPr>
          <w:bCs/>
        </w:rPr>
        <w:t xml:space="preserve"> uygunsuz bulunmuştur. Benzer şekilde</w:t>
      </w:r>
      <w:r w:rsidR="00190F1E" w:rsidRPr="00665D51">
        <w:rPr>
          <w:bCs/>
        </w:rPr>
        <w:t>,</w:t>
      </w:r>
      <w:r w:rsidR="00645C67">
        <w:rPr>
          <w:bCs/>
        </w:rPr>
        <w:t xml:space="preserve"> </w:t>
      </w:r>
      <w:r w:rsidR="005078C2" w:rsidRPr="00665D51">
        <w:rPr>
          <w:bCs/>
        </w:rPr>
        <w:t>9.400</w:t>
      </w:r>
      <w:r w:rsidR="00645C67">
        <w:rPr>
          <w:bCs/>
        </w:rPr>
        <w:t xml:space="preserve"> </w:t>
      </w:r>
      <w:r w:rsidR="008E6D62" w:rsidRPr="00665D51">
        <w:rPr>
          <w:bCs/>
        </w:rPr>
        <w:t xml:space="preserve">parti ürün </w:t>
      </w:r>
      <w:r w:rsidRPr="00665D51">
        <w:rPr>
          <w:bCs/>
        </w:rPr>
        <w:t xml:space="preserve">ise </w:t>
      </w:r>
      <w:r w:rsidR="008E6D62" w:rsidRPr="00665D51">
        <w:rPr>
          <w:bCs/>
        </w:rPr>
        <w:t>enerji verimliliği açısından denetlenmiş</w:t>
      </w:r>
      <w:r w:rsidR="000E644E" w:rsidRPr="00665D51">
        <w:rPr>
          <w:bCs/>
        </w:rPr>
        <w:t xml:space="preserve">, bunların yalnızca </w:t>
      </w:r>
      <w:r w:rsidR="005078C2" w:rsidRPr="00665D51">
        <w:rPr>
          <w:bCs/>
        </w:rPr>
        <w:t>10</w:t>
      </w:r>
      <w:r w:rsidR="00645C67">
        <w:rPr>
          <w:bCs/>
        </w:rPr>
        <w:t>’u</w:t>
      </w:r>
      <w:r w:rsidR="000E644E" w:rsidRPr="00665D51">
        <w:rPr>
          <w:bCs/>
        </w:rPr>
        <w:t xml:space="preserve"> güvensiz, </w:t>
      </w:r>
      <w:r w:rsidR="005078C2" w:rsidRPr="00665D51">
        <w:rPr>
          <w:bCs/>
        </w:rPr>
        <w:t>1.190’ı</w:t>
      </w:r>
      <w:r w:rsidR="000E644E" w:rsidRPr="00665D51">
        <w:rPr>
          <w:bCs/>
        </w:rPr>
        <w:t xml:space="preserve"> ise </w:t>
      </w:r>
      <w:r w:rsidR="008E6D62" w:rsidRPr="00665D51">
        <w:rPr>
          <w:bCs/>
        </w:rPr>
        <w:t xml:space="preserve">uygunsuz </w:t>
      </w:r>
      <w:r w:rsidR="008E6D62" w:rsidRPr="00AB1EFB">
        <w:rPr>
          <w:bCs/>
        </w:rPr>
        <w:t>bulunmuştur.</w:t>
      </w:r>
    </w:p>
    <w:p w:rsidR="00C7131D" w:rsidRDefault="008E6D62" w:rsidP="00665D51">
      <w:pPr>
        <w:spacing w:after="240"/>
        <w:ind w:firstLine="709"/>
        <w:jc w:val="both"/>
        <w:rPr>
          <w:bCs/>
        </w:rPr>
      </w:pPr>
      <w:r w:rsidRPr="00F11FFA">
        <w:rPr>
          <w:bCs/>
        </w:rPr>
        <w:t xml:space="preserve">STB tarafından ayrıca yasal metroloji ürün grubunda denetlenen </w:t>
      </w:r>
      <w:r w:rsidR="007A4BD9">
        <w:rPr>
          <w:bCs/>
        </w:rPr>
        <w:t>180</w:t>
      </w:r>
      <w:r w:rsidRPr="00F11FFA">
        <w:rPr>
          <w:bCs/>
        </w:rPr>
        <w:t xml:space="preserve"> ürünün </w:t>
      </w:r>
      <w:r w:rsidR="007A4BD9">
        <w:rPr>
          <w:bCs/>
        </w:rPr>
        <w:t>8’i</w:t>
      </w:r>
      <w:r w:rsidR="000E644E">
        <w:rPr>
          <w:bCs/>
        </w:rPr>
        <w:t xml:space="preserve"> uygunsuz bulunmuş; </w:t>
      </w:r>
      <w:r w:rsidRPr="00F11FFA">
        <w:rPr>
          <w:bCs/>
        </w:rPr>
        <w:t xml:space="preserve">petrol ile LPG ürünleri alanında denetlenen </w:t>
      </w:r>
      <w:r w:rsidR="007345B3">
        <w:rPr>
          <w:bCs/>
        </w:rPr>
        <w:t>17.</w:t>
      </w:r>
      <w:r w:rsidR="007A4BD9">
        <w:rPr>
          <w:bCs/>
        </w:rPr>
        <w:t>408</w:t>
      </w:r>
      <w:r w:rsidR="00645C67">
        <w:rPr>
          <w:bCs/>
        </w:rPr>
        <w:t xml:space="preserve"> </w:t>
      </w:r>
      <w:r w:rsidRPr="00F11FFA">
        <w:rPr>
          <w:bCs/>
        </w:rPr>
        <w:t xml:space="preserve">ürünün </w:t>
      </w:r>
      <w:r w:rsidR="007A4BD9">
        <w:rPr>
          <w:bCs/>
        </w:rPr>
        <w:t>32’sin</w:t>
      </w:r>
      <w:r w:rsidR="007345B3">
        <w:rPr>
          <w:bCs/>
        </w:rPr>
        <w:t xml:space="preserve">de test/muayene yapıldığı </w:t>
      </w:r>
      <w:r w:rsidR="007A4BD9">
        <w:rPr>
          <w:bCs/>
        </w:rPr>
        <w:t xml:space="preserve">ve 3 adet uygunsuzluk tespit edildiği </w:t>
      </w:r>
      <w:r w:rsidR="007345B3">
        <w:rPr>
          <w:bCs/>
        </w:rPr>
        <w:t>belirtilmiştir. Ayrıca, STB tarafından, s</w:t>
      </w:r>
      <w:r w:rsidR="007345B3" w:rsidRPr="007345B3">
        <w:rPr>
          <w:bCs/>
        </w:rPr>
        <w:t xml:space="preserve">öz konusu ürün denetimi yanı sıra </w:t>
      </w:r>
      <w:r w:rsidR="00665D51">
        <w:rPr>
          <w:bCs/>
        </w:rPr>
        <w:t>4.372</w:t>
      </w:r>
      <w:r w:rsidR="007345B3" w:rsidRPr="007345B3">
        <w:rPr>
          <w:bCs/>
        </w:rPr>
        <w:t xml:space="preserve"> adet</w:t>
      </w:r>
      <w:r w:rsidR="00645C67">
        <w:rPr>
          <w:bCs/>
        </w:rPr>
        <w:t xml:space="preserve"> </w:t>
      </w:r>
      <w:r w:rsidR="00665D51" w:rsidRPr="00665D51">
        <w:rPr>
          <w:bCs/>
        </w:rPr>
        <w:t>LPG istasyonunda lisans, sorumlu müdür çalıştırılması gibi hususlarda</w:t>
      </w:r>
      <w:r w:rsidR="00665D51">
        <w:rPr>
          <w:bCs/>
        </w:rPr>
        <w:t xml:space="preserve"> denetim</w:t>
      </w:r>
      <w:r w:rsidR="007345B3">
        <w:rPr>
          <w:bCs/>
        </w:rPr>
        <w:t xml:space="preserve"> gerçekleştirildiği, s</w:t>
      </w:r>
      <w:r w:rsidR="00665D51">
        <w:rPr>
          <w:bCs/>
        </w:rPr>
        <w:t xml:space="preserve">öz konusu denetimlerde </w:t>
      </w:r>
      <w:r w:rsidR="00665D51" w:rsidRPr="00665D51">
        <w:rPr>
          <w:bCs/>
        </w:rPr>
        <w:t xml:space="preserve">sorumlu müdür çalıştırmayan 30 adet LPG istasyonu ile kaçak tüp </w:t>
      </w:r>
      <w:proofErr w:type="spellStart"/>
      <w:r w:rsidR="00665D51" w:rsidRPr="00665D51">
        <w:rPr>
          <w:bCs/>
        </w:rPr>
        <w:t>dolumuna</w:t>
      </w:r>
      <w:proofErr w:type="spellEnd"/>
      <w:r w:rsidR="00665D51" w:rsidRPr="00665D51">
        <w:rPr>
          <w:bCs/>
        </w:rPr>
        <w:t xml:space="preserve"> yarayan</w:t>
      </w:r>
      <w:r w:rsidR="00665D51">
        <w:rPr>
          <w:bCs/>
        </w:rPr>
        <w:t xml:space="preserve"> 5 adet aparat tespit edildiği,</w:t>
      </w:r>
      <w:r w:rsidR="00665D51" w:rsidRPr="00665D51">
        <w:rPr>
          <w:bCs/>
        </w:rPr>
        <w:t xml:space="preserve"> 4 adet akaryakıt istasyonunda otomasyon sistem</w:t>
      </w:r>
      <w:r w:rsidR="00665D51">
        <w:rPr>
          <w:bCs/>
        </w:rPr>
        <w:t xml:space="preserve">i çalışmadığının tespit edildiği </w:t>
      </w:r>
      <w:r w:rsidR="007345B3">
        <w:rPr>
          <w:bCs/>
        </w:rPr>
        <w:t xml:space="preserve">ifade </w:t>
      </w:r>
      <w:proofErr w:type="spellStart"/>
      <w:proofErr w:type="gramStart"/>
      <w:r w:rsidR="007345B3">
        <w:rPr>
          <w:bCs/>
        </w:rPr>
        <w:t>edilmiştir</w:t>
      </w:r>
      <w:r w:rsidR="007345B3" w:rsidRPr="007345B3">
        <w:rPr>
          <w:bCs/>
        </w:rPr>
        <w:t>.</w:t>
      </w:r>
      <w:r w:rsidR="000E644E">
        <w:rPr>
          <w:bCs/>
        </w:rPr>
        <w:t>STB</w:t>
      </w:r>
      <w:proofErr w:type="spellEnd"/>
      <w:proofErr w:type="gramEnd"/>
      <w:r w:rsidR="000E644E">
        <w:rPr>
          <w:bCs/>
        </w:rPr>
        <w:t xml:space="preserve"> tarafından 201</w:t>
      </w:r>
      <w:r w:rsidR="00665D51">
        <w:rPr>
          <w:bCs/>
        </w:rPr>
        <w:t>9</w:t>
      </w:r>
      <w:r w:rsidR="000E644E">
        <w:rPr>
          <w:bCs/>
        </w:rPr>
        <w:t xml:space="preserve"> yılında bir önceki yıla g</w:t>
      </w:r>
      <w:r w:rsidR="004E305C">
        <w:rPr>
          <w:bCs/>
        </w:rPr>
        <w:t>öre yasal metroloji alanında %</w:t>
      </w:r>
      <w:r w:rsidR="00665D51">
        <w:rPr>
          <w:bCs/>
        </w:rPr>
        <w:t>52 oranında daha az ürün denetlenmiş</w:t>
      </w:r>
      <w:r w:rsidR="000E644E">
        <w:rPr>
          <w:bCs/>
        </w:rPr>
        <w:t xml:space="preserve">; </w:t>
      </w:r>
      <w:r w:rsidR="00961906">
        <w:rPr>
          <w:bCs/>
        </w:rPr>
        <w:t>petrol ve LPG ürünlerinde ise %</w:t>
      </w:r>
      <w:r w:rsidR="004E305C">
        <w:rPr>
          <w:bCs/>
        </w:rPr>
        <w:t>2</w:t>
      </w:r>
      <w:r w:rsidR="00961906">
        <w:rPr>
          <w:bCs/>
        </w:rPr>
        <w:t xml:space="preserve"> oranında daha </w:t>
      </w:r>
      <w:r w:rsidR="00665D51">
        <w:rPr>
          <w:bCs/>
        </w:rPr>
        <w:t>fazla</w:t>
      </w:r>
      <w:r w:rsidR="00961906">
        <w:rPr>
          <w:bCs/>
        </w:rPr>
        <w:t xml:space="preserve"> ürün denetlenmiştir. </w:t>
      </w:r>
    </w:p>
    <w:p w:rsidR="00350139" w:rsidRPr="00AB1EFB" w:rsidRDefault="004E305C" w:rsidP="006A3CE9">
      <w:pPr>
        <w:pStyle w:val="ListeParagraf"/>
        <w:numPr>
          <w:ilvl w:val="0"/>
          <w:numId w:val="19"/>
        </w:numPr>
        <w:spacing w:after="240"/>
        <w:ind w:left="0" w:firstLine="0"/>
        <w:jc w:val="both"/>
        <w:rPr>
          <w:bCs/>
        </w:rPr>
      </w:pPr>
      <w:proofErr w:type="spellStart"/>
      <w:r w:rsidRPr="006A3CE9">
        <w:rPr>
          <w:bCs/>
        </w:rPr>
        <w:t>A</w:t>
      </w:r>
      <w:r>
        <w:rPr>
          <w:bCs/>
        </w:rPr>
        <w:t>ÇSH</w:t>
      </w:r>
      <w:r w:rsidR="008408F9" w:rsidRPr="00F11FFA">
        <w:rPr>
          <w:bCs/>
        </w:rPr>
        <w:t>B</w:t>
      </w:r>
      <w:r w:rsidR="00214A34">
        <w:rPr>
          <w:bCs/>
        </w:rPr>
        <w:t>’nin</w:t>
      </w:r>
      <w:proofErr w:type="spellEnd"/>
      <w:r w:rsidR="00645C67">
        <w:rPr>
          <w:bCs/>
        </w:rPr>
        <w:t xml:space="preserve"> </w:t>
      </w:r>
      <w:r w:rsidR="00214A34">
        <w:rPr>
          <w:bCs/>
        </w:rPr>
        <w:t>201</w:t>
      </w:r>
      <w:r w:rsidR="00AB1EFB">
        <w:rPr>
          <w:bCs/>
        </w:rPr>
        <w:t>9</w:t>
      </w:r>
      <w:r w:rsidR="00214A34">
        <w:rPr>
          <w:bCs/>
        </w:rPr>
        <w:t xml:space="preserve"> yılında yaptığı denetimlerde tespit edilen </w:t>
      </w:r>
      <w:proofErr w:type="spellStart"/>
      <w:r w:rsidR="008408F9" w:rsidRPr="00F11FFA">
        <w:rPr>
          <w:bCs/>
        </w:rPr>
        <w:t>uygunsuz</w:t>
      </w:r>
      <w:r w:rsidR="008408F9" w:rsidRPr="00AB1EFB">
        <w:rPr>
          <w:bCs/>
        </w:rPr>
        <w:t>ürün</w:t>
      </w:r>
      <w:proofErr w:type="spellEnd"/>
      <w:r w:rsidR="008408F9" w:rsidRPr="00AB1EFB">
        <w:rPr>
          <w:bCs/>
        </w:rPr>
        <w:t xml:space="preserve"> parti sayısı</w:t>
      </w:r>
      <w:r w:rsidR="00214A34" w:rsidRPr="00AB1EFB">
        <w:rPr>
          <w:bCs/>
        </w:rPr>
        <w:t xml:space="preserve">nda önemli bir </w:t>
      </w:r>
      <w:r w:rsidR="00AB1EFB">
        <w:rPr>
          <w:bCs/>
        </w:rPr>
        <w:t>azalış</w:t>
      </w:r>
      <w:r w:rsidR="00214A34" w:rsidRPr="00AB1EFB">
        <w:rPr>
          <w:bCs/>
        </w:rPr>
        <w:t xml:space="preserve"> yaşanmış, </w:t>
      </w:r>
      <w:r w:rsidR="008408F9" w:rsidRPr="00AB1EFB">
        <w:rPr>
          <w:bCs/>
        </w:rPr>
        <w:t>Bakanlıkça</w:t>
      </w:r>
      <w:r w:rsidR="007C3064" w:rsidRPr="00AB1EFB">
        <w:rPr>
          <w:bCs/>
        </w:rPr>
        <w:t xml:space="preserve"> tespit edilen</w:t>
      </w:r>
      <w:r w:rsidR="008408F9" w:rsidRPr="00AB1EFB">
        <w:rPr>
          <w:bCs/>
        </w:rPr>
        <w:t xml:space="preserve"> uygunsuz ürün parti sayısı </w:t>
      </w:r>
      <w:r w:rsidR="00AB1EFB">
        <w:rPr>
          <w:bCs/>
        </w:rPr>
        <w:t>328’den 161’e düşmüştür</w:t>
      </w:r>
      <w:r w:rsidRPr="00AB1EFB">
        <w:rPr>
          <w:bCs/>
        </w:rPr>
        <w:t>. Yaklaşık %</w:t>
      </w:r>
      <w:r w:rsidR="00AB1EFB">
        <w:rPr>
          <w:bCs/>
        </w:rPr>
        <w:t>50</w:t>
      </w:r>
      <w:r w:rsidR="00214A34" w:rsidRPr="00AB1EFB">
        <w:rPr>
          <w:bCs/>
        </w:rPr>
        <w:t xml:space="preserve"> oranındaki bu </w:t>
      </w:r>
      <w:r w:rsidRPr="00AB1EFB">
        <w:rPr>
          <w:bCs/>
        </w:rPr>
        <w:t>a</w:t>
      </w:r>
      <w:r w:rsidR="00AB1EFB">
        <w:rPr>
          <w:bCs/>
        </w:rPr>
        <w:t>zalışın</w:t>
      </w:r>
      <w:r w:rsidR="00214A34" w:rsidRPr="00AB1EFB">
        <w:rPr>
          <w:bCs/>
        </w:rPr>
        <w:t xml:space="preserve"> yanında </w:t>
      </w:r>
      <w:r w:rsidR="008408F9" w:rsidRPr="00AB1EFB">
        <w:rPr>
          <w:bCs/>
        </w:rPr>
        <w:t xml:space="preserve">uygunsuz ürünlerin toplam denetlenen ürünlere oranı </w:t>
      </w:r>
      <w:r w:rsidR="00214A34" w:rsidRPr="00AB1EFB">
        <w:rPr>
          <w:bCs/>
        </w:rPr>
        <w:t xml:space="preserve">da </w:t>
      </w:r>
      <w:r w:rsidR="006C21F7" w:rsidRPr="00AB1EFB">
        <w:rPr>
          <w:bCs/>
        </w:rPr>
        <w:t>%</w:t>
      </w:r>
      <w:r w:rsidRPr="00AB1EFB">
        <w:rPr>
          <w:bCs/>
        </w:rPr>
        <w:t>2</w:t>
      </w:r>
      <w:r w:rsidR="00AB1EFB">
        <w:rPr>
          <w:bCs/>
        </w:rPr>
        <w:t>2</w:t>
      </w:r>
      <w:r w:rsidR="008408F9" w:rsidRPr="00AB1EFB">
        <w:rPr>
          <w:bCs/>
        </w:rPr>
        <w:t>’</w:t>
      </w:r>
      <w:r w:rsidRPr="00AB1EFB">
        <w:rPr>
          <w:bCs/>
        </w:rPr>
        <w:t>den  %</w:t>
      </w:r>
      <w:r w:rsidR="00AB1EFB">
        <w:rPr>
          <w:bCs/>
        </w:rPr>
        <w:t>19’a</w:t>
      </w:r>
      <w:r w:rsidR="00214A34" w:rsidRPr="00AB1EFB">
        <w:rPr>
          <w:bCs/>
        </w:rPr>
        <w:t xml:space="preserve"> gerilemiştir. </w:t>
      </w:r>
      <w:r w:rsidR="002D1526">
        <w:rPr>
          <w:bCs/>
        </w:rPr>
        <w:t xml:space="preserve">Güvensiz ürün tespiti değerlendirildiğinde bir önceki yıl 16 olan sayı 2019’da 2’ye düşmüştür. Böylece güvensizlik tespit oranı 2018’de %1 iken 2019’da %0,2’ye gerilemiştir. </w:t>
      </w:r>
      <w:r w:rsidR="00214A34" w:rsidRPr="00AB1EFB">
        <w:rPr>
          <w:bCs/>
        </w:rPr>
        <w:t xml:space="preserve">2015 ve 2016 yıllarında </w:t>
      </w:r>
      <w:r w:rsidR="008408F9" w:rsidRPr="00AB1EFB">
        <w:rPr>
          <w:bCs/>
        </w:rPr>
        <w:t xml:space="preserve">% 35’in üzerinde seyreden </w:t>
      </w:r>
      <w:r w:rsidR="002D1526">
        <w:rPr>
          <w:bCs/>
        </w:rPr>
        <w:t xml:space="preserve">uygunsuzluk ve güvensizlik toplam </w:t>
      </w:r>
      <w:r w:rsidR="008408F9" w:rsidRPr="00AB1EFB">
        <w:rPr>
          <w:bCs/>
        </w:rPr>
        <w:t xml:space="preserve">oranın </w:t>
      </w:r>
      <w:r w:rsidR="00214A34" w:rsidRPr="00AB1EFB">
        <w:rPr>
          <w:bCs/>
        </w:rPr>
        <w:t xml:space="preserve">2017 yılında ciddi </w:t>
      </w:r>
      <w:r w:rsidR="00AB1EFB">
        <w:rPr>
          <w:bCs/>
        </w:rPr>
        <w:t xml:space="preserve">bir şekilde gerilemesi, </w:t>
      </w:r>
      <w:r w:rsidR="00656DF8" w:rsidRPr="00AB1EFB">
        <w:rPr>
          <w:bCs/>
        </w:rPr>
        <w:t>2018</w:t>
      </w:r>
      <w:r w:rsidR="00AB1EFB">
        <w:rPr>
          <w:bCs/>
        </w:rPr>
        <w:t xml:space="preserve"> ve 2019</w:t>
      </w:r>
      <w:r w:rsidR="00656DF8" w:rsidRPr="00AB1EFB">
        <w:rPr>
          <w:bCs/>
        </w:rPr>
        <w:t xml:space="preserve"> yıl</w:t>
      </w:r>
      <w:r w:rsidR="00AB1EFB">
        <w:rPr>
          <w:bCs/>
        </w:rPr>
        <w:t>lar</w:t>
      </w:r>
      <w:r w:rsidR="00656DF8" w:rsidRPr="00AB1EFB">
        <w:rPr>
          <w:bCs/>
        </w:rPr>
        <w:t xml:space="preserve">ında azalmaya devam etmesi </w:t>
      </w:r>
      <w:r w:rsidR="008408F9" w:rsidRPr="00AB1EFB">
        <w:rPr>
          <w:bCs/>
        </w:rPr>
        <w:t>Bakanlıkça yürütülen denetimlerin etkinliğini</w:t>
      </w:r>
      <w:r w:rsidR="008C1D0C" w:rsidRPr="00AB1EFB">
        <w:rPr>
          <w:bCs/>
        </w:rPr>
        <w:t>n azaldığının</w:t>
      </w:r>
      <w:r w:rsidR="008408F9" w:rsidRPr="00AB1EFB">
        <w:rPr>
          <w:bCs/>
        </w:rPr>
        <w:t xml:space="preserve"> bir gösterge</w:t>
      </w:r>
      <w:r w:rsidR="008C1D0C" w:rsidRPr="00AB1EFB">
        <w:rPr>
          <w:bCs/>
        </w:rPr>
        <w:t>sidir.</w:t>
      </w:r>
    </w:p>
    <w:p w:rsidR="003517AB" w:rsidRPr="006A3CE9" w:rsidRDefault="008E6D62" w:rsidP="006A3CE9">
      <w:pPr>
        <w:pStyle w:val="ListeParagraf"/>
        <w:numPr>
          <w:ilvl w:val="0"/>
          <w:numId w:val="19"/>
        </w:numPr>
        <w:spacing w:after="240"/>
        <w:ind w:left="0" w:firstLine="0"/>
        <w:jc w:val="both"/>
        <w:rPr>
          <w:bCs/>
        </w:rPr>
      </w:pPr>
      <w:r w:rsidRPr="00350139">
        <w:rPr>
          <w:bCs/>
        </w:rPr>
        <w:t>ÇŞB tarafı</w:t>
      </w:r>
      <w:r w:rsidR="006D7887" w:rsidRPr="00350139">
        <w:rPr>
          <w:bCs/>
        </w:rPr>
        <w:t xml:space="preserve">ndan denetlenen </w:t>
      </w:r>
      <w:r w:rsidR="007E6718" w:rsidRPr="00350139">
        <w:rPr>
          <w:bCs/>
        </w:rPr>
        <w:t>14.573</w:t>
      </w:r>
      <w:r w:rsidR="00645C67">
        <w:rPr>
          <w:bCs/>
        </w:rPr>
        <w:t xml:space="preserve"> </w:t>
      </w:r>
      <w:r w:rsidR="00EF546C" w:rsidRPr="00350139">
        <w:rPr>
          <w:bCs/>
        </w:rPr>
        <w:t xml:space="preserve">ürün partisinin </w:t>
      </w:r>
      <w:r w:rsidR="00656DF8" w:rsidRPr="00350139">
        <w:rPr>
          <w:bCs/>
        </w:rPr>
        <w:t>3.</w:t>
      </w:r>
      <w:r w:rsidR="007E6718" w:rsidRPr="00350139">
        <w:rPr>
          <w:bCs/>
        </w:rPr>
        <w:t xml:space="preserve">095’i </w:t>
      </w:r>
      <w:r w:rsidRPr="00350139">
        <w:rPr>
          <w:bCs/>
        </w:rPr>
        <w:t>(</w:t>
      </w:r>
      <w:r w:rsidR="00656DF8" w:rsidRPr="00350139">
        <w:rPr>
          <w:bCs/>
        </w:rPr>
        <w:t>%2</w:t>
      </w:r>
      <w:r w:rsidR="007E6718" w:rsidRPr="00350139">
        <w:rPr>
          <w:bCs/>
        </w:rPr>
        <w:t>1</w:t>
      </w:r>
      <w:r w:rsidR="00656DF8" w:rsidRPr="00350139">
        <w:rPr>
          <w:bCs/>
        </w:rPr>
        <w:t>’</w:t>
      </w:r>
      <w:r w:rsidR="007E6718" w:rsidRPr="002A1B91">
        <w:rPr>
          <w:bCs/>
        </w:rPr>
        <w:t>i</w:t>
      </w:r>
      <w:r w:rsidRPr="002A1B91">
        <w:rPr>
          <w:bCs/>
        </w:rPr>
        <w:t>) uygu</w:t>
      </w:r>
      <w:r w:rsidR="007E6718" w:rsidRPr="002A1B91">
        <w:rPr>
          <w:bCs/>
        </w:rPr>
        <w:t>nsuz ve 296’sı (%2’si)</w:t>
      </w:r>
      <w:r w:rsidR="006D7887" w:rsidRPr="006A3CE9">
        <w:rPr>
          <w:bCs/>
        </w:rPr>
        <w:t xml:space="preserve"> güvensiz </w:t>
      </w:r>
      <w:r w:rsidR="006D7887" w:rsidRPr="00D57C13">
        <w:rPr>
          <w:bCs/>
          <w:color w:val="000000" w:themeColor="text1"/>
        </w:rPr>
        <w:t>bulunmuştur.</w:t>
      </w:r>
      <w:r w:rsidR="00B676E0" w:rsidRPr="00D57C13">
        <w:rPr>
          <w:bCs/>
          <w:color w:val="000000" w:themeColor="text1"/>
        </w:rPr>
        <w:t xml:space="preserve"> Denetlenen ürünler içinde güvensizlik tespit oranına bakıldığında ÇŞB, 2019 yılında en fazla güvensizlik tespit oranına sahip kuruluş olmuştur. </w:t>
      </w:r>
      <w:r w:rsidR="007E6718" w:rsidRPr="00D57C13">
        <w:rPr>
          <w:bCs/>
          <w:color w:val="000000" w:themeColor="text1"/>
        </w:rPr>
        <w:t xml:space="preserve">Uygunsuzluk tespit </w:t>
      </w:r>
      <w:r w:rsidR="006D7887" w:rsidRPr="00D57C13">
        <w:rPr>
          <w:bCs/>
          <w:color w:val="000000" w:themeColor="text1"/>
        </w:rPr>
        <w:t>oran</w:t>
      </w:r>
      <w:r w:rsidR="007E6718" w:rsidRPr="00D57C13">
        <w:rPr>
          <w:bCs/>
          <w:color w:val="000000" w:themeColor="text1"/>
        </w:rPr>
        <w:t>ı</w:t>
      </w:r>
      <w:r w:rsidR="00656DF8" w:rsidRPr="00D57C13">
        <w:rPr>
          <w:bCs/>
          <w:color w:val="000000" w:themeColor="text1"/>
        </w:rPr>
        <w:t>201</w:t>
      </w:r>
      <w:r w:rsidR="00EE0ABF" w:rsidRPr="00D57C13">
        <w:rPr>
          <w:bCs/>
          <w:color w:val="000000" w:themeColor="text1"/>
        </w:rPr>
        <w:t>8 yılında  %21</w:t>
      </w:r>
      <w:r w:rsidR="00D57C13">
        <w:rPr>
          <w:bCs/>
          <w:color w:val="000000" w:themeColor="text1"/>
        </w:rPr>
        <w:t xml:space="preserve"> </w:t>
      </w:r>
      <w:r w:rsidR="007E6718" w:rsidRPr="00D57C13">
        <w:rPr>
          <w:bCs/>
          <w:color w:val="000000" w:themeColor="text1"/>
        </w:rPr>
        <w:t>iken güvensizlik tespit oranı %3 düzeyinde gerçekleştiğinden kıyaslama yapıldığında 2019 yılında</w:t>
      </w:r>
      <w:r w:rsidR="007E6718" w:rsidRPr="006A3CE9">
        <w:rPr>
          <w:bCs/>
        </w:rPr>
        <w:t xml:space="preserve"> denetim çıktılarında ciddi bir farklılık </w:t>
      </w:r>
      <w:proofErr w:type="spellStart"/>
      <w:proofErr w:type="gramStart"/>
      <w:r w:rsidR="007E6718" w:rsidRPr="006A3CE9">
        <w:rPr>
          <w:bCs/>
        </w:rPr>
        <w:t>olmamıştır.</w:t>
      </w:r>
      <w:r w:rsidRPr="006A3CE9">
        <w:rPr>
          <w:bCs/>
        </w:rPr>
        <w:t>Bakanlığın</w:t>
      </w:r>
      <w:proofErr w:type="spellEnd"/>
      <w:proofErr w:type="gramEnd"/>
      <w:r w:rsidRPr="006A3CE9">
        <w:rPr>
          <w:bCs/>
        </w:rPr>
        <w:t xml:space="preserve"> sorumluluğundaki “hazır beton dışı yapı malzemeleri” ürün grubunda ise </w:t>
      </w:r>
      <w:r w:rsidR="00431795" w:rsidRPr="006A3CE9">
        <w:rPr>
          <w:bCs/>
        </w:rPr>
        <w:t xml:space="preserve">uygunsuzluk tespit </w:t>
      </w:r>
      <w:r w:rsidRPr="006A3CE9">
        <w:rPr>
          <w:bCs/>
        </w:rPr>
        <w:t>oran</w:t>
      </w:r>
      <w:r w:rsidR="00431795" w:rsidRPr="006A3CE9">
        <w:rPr>
          <w:bCs/>
        </w:rPr>
        <w:t>ı</w:t>
      </w:r>
      <w:r w:rsidRPr="006A3CE9">
        <w:rPr>
          <w:bCs/>
        </w:rPr>
        <w:t xml:space="preserve"> %</w:t>
      </w:r>
      <w:r w:rsidR="00431795" w:rsidRPr="006A3CE9">
        <w:rPr>
          <w:bCs/>
        </w:rPr>
        <w:t>33</w:t>
      </w:r>
      <w:r w:rsidR="00656DF8" w:rsidRPr="006A3CE9">
        <w:rPr>
          <w:bCs/>
        </w:rPr>
        <w:t>’tür</w:t>
      </w:r>
      <w:r w:rsidR="006F2D54" w:rsidRPr="006A3CE9">
        <w:rPr>
          <w:bCs/>
        </w:rPr>
        <w:t>.</w:t>
      </w:r>
      <w:r w:rsidR="003517AB" w:rsidRPr="006A3CE9">
        <w:rPr>
          <w:bCs/>
        </w:rPr>
        <w:t xml:space="preserve"> Uygun bulunan 4.922 denetimin 4.429'u teknik dosya incelemesi yapılarak uygun bulunanlardan, 493'ü ise numune alımı </w:t>
      </w:r>
      <w:proofErr w:type="gramStart"/>
      <w:r w:rsidR="003517AB" w:rsidRPr="006A3CE9">
        <w:rPr>
          <w:bCs/>
        </w:rPr>
        <w:t>sonucu  test</w:t>
      </w:r>
      <w:proofErr w:type="gramEnd"/>
      <w:r w:rsidR="003517AB" w:rsidRPr="006A3CE9">
        <w:rPr>
          <w:bCs/>
        </w:rPr>
        <w:t xml:space="preserve"> deney yapılarak güvenli bulunanlardan gelmektedir. Sonuçlanmayan </w:t>
      </w:r>
      <w:proofErr w:type="gramStart"/>
      <w:r w:rsidR="003517AB" w:rsidRPr="006A3CE9">
        <w:rPr>
          <w:bCs/>
        </w:rPr>
        <w:t>583  denetimin</w:t>
      </w:r>
      <w:proofErr w:type="gramEnd"/>
      <w:r w:rsidR="003517AB" w:rsidRPr="006A3CE9">
        <w:rPr>
          <w:bCs/>
        </w:rPr>
        <w:t xml:space="preserve"> 40'ı test deney süreci tamamlanmayanlardan, 543'ü ise firma kapandığı veya üretimi durdurduğu için tamamlanamamış denetimlerden gelmektedir.</w:t>
      </w:r>
      <w:r w:rsidR="00992625" w:rsidRPr="006A3CE9">
        <w:rPr>
          <w:bCs/>
        </w:rPr>
        <w:t xml:space="preserve"> Diğer taraftan Bakanlıkça denetimi yapılan “hazır beton” ürün grubunda 6.335 denetim yapılmış ve 389 adet uygunsuzluk, 269 adet güvensizlik bulunmuştur. Hazır beton ürün grubu, 2019 yılında gıda ve gıda ile temas eden maddelerden sonra en fazla güvensizlik tespitinin olduğu ürün grubu olmuştur. </w:t>
      </w:r>
    </w:p>
    <w:p w:rsidR="003517AB" w:rsidRDefault="003517AB" w:rsidP="006A3CE9">
      <w:pPr>
        <w:spacing w:after="240"/>
        <w:jc w:val="both"/>
        <w:rPr>
          <w:bCs/>
        </w:rPr>
      </w:pPr>
      <w:r>
        <w:rPr>
          <w:bCs/>
        </w:rPr>
        <w:lastRenderedPageBreak/>
        <w:t>Bununla birlikte,</w:t>
      </w:r>
      <w:r w:rsidR="00B34F25">
        <w:rPr>
          <w:bCs/>
        </w:rPr>
        <w:t xml:space="preserve"> </w:t>
      </w:r>
      <w:r w:rsidR="008E6D62" w:rsidRPr="003517AB">
        <w:rPr>
          <w:bCs/>
        </w:rPr>
        <w:t>ÇŞB tarafından denetlenen katı yakıt</w:t>
      </w:r>
      <w:r w:rsidR="006F2D54" w:rsidRPr="003517AB">
        <w:rPr>
          <w:bCs/>
        </w:rPr>
        <w:t>larda ise</w:t>
      </w:r>
      <w:r w:rsidRPr="003517AB">
        <w:rPr>
          <w:bCs/>
        </w:rPr>
        <w:t xml:space="preserve"> denetimler</w:t>
      </w:r>
      <w:r>
        <w:rPr>
          <w:bCs/>
        </w:rPr>
        <w:t>in</w:t>
      </w:r>
      <w:r w:rsidRPr="003517AB">
        <w:rPr>
          <w:bCs/>
        </w:rPr>
        <w:t xml:space="preserve"> 2872 sayılı Çevre Kanunu kapsamında yapıl</w:t>
      </w:r>
      <w:r>
        <w:rPr>
          <w:bCs/>
        </w:rPr>
        <w:t>dığı</w:t>
      </w:r>
      <w:r w:rsidRPr="003517AB">
        <w:rPr>
          <w:bCs/>
        </w:rPr>
        <w:t>, Kanun'da güvensiz ve uygunsuz ürün tanımı</w:t>
      </w:r>
      <w:r>
        <w:rPr>
          <w:bCs/>
        </w:rPr>
        <w:t>nın bulunmadığı, u</w:t>
      </w:r>
      <w:r w:rsidRPr="003517AB">
        <w:rPr>
          <w:bCs/>
        </w:rPr>
        <w:t>ygunsuz ürün tanımına karşılık olarak teknik mevzuatına uygun olmayan ürünler</w:t>
      </w:r>
      <w:r>
        <w:rPr>
          <w:bCs/>
        </w:rPr>
        <w:t>in alındığı ve</w:t>
      </w:r>
      <w:r w:rsidRPr="003517AB">
        <w:rPr>
          <w:bCs/>
        </w:rPr>
        <w:t xml:space="preserve"> güvensiz ürünlere dair bir veri oluşturulamadığı bildirilmiştir.</w:t>
      </w:r>
    </w:p>
    <w:p w:rsidR="00656DF8" w:rsidRPr="003517AB" w:rsidRDefault="00656DF8" w:rsidP="006A3CE9">
      <w:pPr>
        <w:spacing w:after="240"/>
        <w:ind w:firstLine="708"/>
        <w:jc w:val="both"/>
        <w:rPr>
          <w:bCs/>
        </w:rPr>
      </w:pPr>
      <w:r w:rsidRPr="003517AB">
        <w:rPr>
          <w:bCs/>
        </w:rPr>
        <w:t xml:space="preserve">Bununla birlikte, katı yakıtlar ürün grubuna ilişkin olarak tespit edilen uygunsuz ürün sayısı </w:t>
      </w:r>
      <w:r w:rsidR="003517AB">
        <w:rPr>
          <w:bCs/>
        </w:rPr>
        <w:t>6.172 olarak bildiril</w:t>
      </w:r>
      <w:r w:rsidRPr="003517AB">
        <w:rPr>
          <w:bCs/>
        </w:rPr>
        <w:t xml:space="preserve">miştir.  </w:t>
      </w:r>
    </w:p>
    <w:p w:rsidR="00AC7CEC" w:rsidRDefault="00656DF8" w:rsidP="006A3CE9">
      <w:pPr>
        <w:pStyle w:val="ListeParagraf"/>
        <w:numPr>
          <w:ilvl w:val="0"/>
          <w:numId w:val="19"/>
        </w:numPr>
        <w:spacing w:after="240"/>
        <w:ind w:left="0" w:firstLine="0"/>
        <w:jc w:val="both"/>
        <w:rPr>
          <w:bCs/>
        </w:rPr>
      </w:pPr>
      <w:r>
        <w:rPr>
          <w:bCs/>
        </w:rPr>
        <w:t>TO</w:t>
      </w:r>
      <w:r w:rsidR="008E6D62" w:rsidRPr="00F11FFA">
        <w:rPr>
          <w:bCs/>
        </w:rPr>
        <w:t>B tarafından 201</w:t>
      </w:r>
      <w:r w:rsidR="00B676E0">
        <w:rPr>
          <w:bCs/>
        </w:rPr>
        <w:t>9</w:t>
      </w:r>
      <w:r w:rsidR="008E6D62" w:rsidRPr="00F11FFA">
        <w:rPr>
          <w:bCs/>
        </w:rPr>
        <w:t xml:space="preserve"> yılında denetlenen toplam </w:t>
      </w:r>
      <w:r w:rsidR="00B676E0">
        <w:rPr>
          <w:bCs/>
        </w:rPr>
        <w:t>114.804</w:t>
      </w:r>
      <w:r w:rsidR="00744A3B">
        <w:rPr>
          <w:bCs/>
        </w:rPr>
        <w:t xml:space="preserve"> </w:t>
      </w:r>
      <w:r w:rsidR="008E6D62" w:rsidRPr="00F11FFA">
        <w:rPr>
          <w:bCs/>
        </w:rPr>
        <w:t xml:space="preserve">ürün partisinin </w:t>
      </w:r>
      <w:r w:rsidR="00B676E0">
        <w:rPr>
          <w:bCs/>
        </w:rPr>
        <w:t xml:space="preserve">4.822’sinde </w:t>
      </w:r>
      <w:r w:rsidR="008E6D62" w:rsidRPr="00F11FFA">
        <w:rPr>
          <w:bCs/>
        </w:rPr>
        <w:t xml:space="preserve">uygunsuzluk tespit edilmiş olup, </w:t>
      </w:r>
      <w:r w:rsidR="00B676E0">
        <w:rPr>
          <w:bCs/>
        </w:rPr>
        <w:t>uygunsuzluk oranı</w:t>
      </w:r>
      <w:r w:rsidR="008E6D62" w:rsidRPr="00F11FFA">
        <w:rPr>
          <w:bCs/>
        </w:rPr>
        <w:t xml:space="preserve"> Bakanlıkça denetlenen ürünlerin</w:t>
      </w:r>
      <w:r w:rsidR="003C1193">
        <w:rPr>
          <w:bCs/>
        </w:rPr>
        <w:t xml:space="preserve"> yaklaşık</w:t>
      </w:r>
      <w:r w:rsidR="008E6D62" w:rsidRPr="00F11FFA">
        <w:rPr>
          <w:bCs/>
        </w:rPr>
        <w:t xml:space="preserve"> % </w:t>
      </w:r>
      <w:r w:rsidR="00B676E0">
        <w:rPr>
          <w:bCs/>
        </w:rPr>
        <w:t>4’üne</w:t>
      </w:r>
      <w:r w:rsidR="008E6D62" w:rsidRPr="00F11FFA">
        <w:rPr>
          <w:bCs/>
        </w:rPr>
        <w:t xml:space="preserve"> denk gelmektedir. </w:t>
      </w:r>
      <w:r w:rsidR="00B676E0">
        <w:rPr>
          <w:bCs/>
        </w:rPr>
        <w:t xml:space="preserve">Bununla birlikte, 1.222 ürün partisinde güvensizlik tespit edilmiş ve bu oran Bakanlıkça </w:t>
      </w:r>
      <w:r w:rsidR="00AC7CEC">
        <w:rPr>
          <w:bCs/>
        </w:rPr>
        <w:t>denetlenen ürünlerin</w:t>
      </w:r>
      <w:r w:rsidR="00B676E0">
        <w:rPr>
          <w:bCs/>
        </w:rPr>
        <w:t xml:space="preserve"> %1’ini oluşturmuştur.</w:t>
      </w:r>
    </w:p>
    <w:p w:rsidR="00301A03" w:rsidRDefault="00DF565D" w:rsidP="006A3CE9">
      <w:pPr>
        <w:spacing w:after="240"/>
        <w:ind w:firstLine="708"/>
        <w:jc w:val="both"/>
        <w:rPr>
          <w:bCs/>
        </w:rPr>
      </w:pPr>
      <w:r>
        <w:rPr>
          <w:bCs/>
        </w:rPr>
        <w:t>Gıda ve gıda ile tema</w:t>
      </w:r>
      <w:r w:rsidR="00AC7CEC">
        <w:rPr>
          <w:bCs/>
        </w:rPr>
        <w:t>s</w:t>
      </w:r>
      <w:r>
        <w:rPr>
          <w:bCs/>
        </w:rPr>
        <w:t xml:space="preserve"> eden maddeler ürün grubu, en fazla güvensizlik tespit edilen ve </w:t>
      </w:r>
      <w:r w:rsidR="00AC7CEC">
        <w:rPr>
          <w:bCs/>
        </w:rPr>
        <w:t xml:space="preserve">taşınabilir basınçlı </w:t>
      </w:r>
      <w:proofErr w:type="gramStart"/>
      <w:r w:rsidR="00AC7CEC">
        <w:rPr>
          <w:bCs/>
        </w:rPr>
        <w:t>ekipmanlardan</w:t>
      </w:r>
      <w:proofErr w:type="gramEnd"/>
      <w:r w:rsidR="00AC7CEC">
        <w:rPr>
          <w:bCs/>
        </w:rPr>
        <w:t xml:space="preserve"> sonra </w:t>
      </w:r>
      <w:r>
        <w:rPr>
          <w:bCs/>
        </w:rPr>
        <w:t xml:space="preserve">en fazla uygunsuzluk tespit edilen </w:t>
      </w:r>
      <w:r w:rsidR="00AC7CEC">
        <w:rPr>
          <w:bCs/>
        </w:rPr>
        <w:t xml:space="preserve">ürün grubu olmuştur. Söz konusu ürün grubunda </w:t>
      </w:r>
      <w:r w:rsidR="00301A03">
        <w:rPr>
          <w:bCs/>
        </w:rPr>
        <w:t>52.486</w:t>
      </w:r>
      <w:r w:rsidR="00AC7CEC">
        <w:rPr>
          <w:bCs/>
        </w:rPr>
        <w:t xml:space="preserve"> adet </w:t>
      </w:r>
      <w:r w:rsidR="00301A03">
        <w:rPr>
          <w:bCs/>
        </w:rPr>
        <w:t>ürün partisi denetlenmi</w:t>
      </w:r>
      <w:r w:rsidR="00AC7CEC">
        <w:rPr>
          <w:bCs/>
        </w:rPr>
        <w:t>ş, 4.305 adet uygunsuzluk ve 1.211 adet güvensizlik tespit edilmiştir.</w:t>
      </w:r>
      <w:r w:rsidR="00744A3B">
        <w:rPr>
          <w:bCs/>
        </w:rPr>
        <w:t xml:space="preserve"> </w:t>
      </w:r>
      <w:r w:rsidR="00301A03">
        <w:rPr>
          <w:bCs/>
        </w:rPr>
        <w:t>Böylece, Bakanlıkça tespit edilen uygunsuzlukların %89’unu, bütün kuruluşlarca tespit edilen uygunsuzlukların %15’ini anılan ürün grubundaki uygunsuzluklar oluşturmuştur. Ayrıca, Bakanlıkça tespit edilen güvensizliklerin %99’unu, bütün kuruluşlarca tespit edilen güvensizliklerin %66’sını anılan ürün grubundaki güvensizlikler oluşturmuştur.</w:t>
      </w:r>
    </w:p>
    <w:p w:rsidR="008E6D62" w:rsidRPr="00F11FFA" w:rsidRDefault="00AC7CEC" w:rsidP="006A3CE9">
      <w:pPr>
        <w:spacing w:after="240"/>
        <w:ind w:firstLine="708"/>
        <w:jc w:val="both"/>
        <w:rPr>
          <w:bCs/>
        </w:rPr>
      </w:pPr>
      <w:r>
        <w:t>Bakanlıkça, u</w:t>
      </w:r>
      <w:r w:rsidRPr="00AC7CEC">
        <w:rPr>
          <w:bCs/>
        </w:rPr>
        <w:t>ygunsuz bulunan ürün veriler</w:t>
      </w:r>
      <w:r>
        <w:rPr>
          <w:bCs/>
        </w:rPr>
        <w:t>inin</w:t>
      </w:r>
      <w:r w:rsidRPr="00AC7CEC">
        <w:rPr>
          <w:bCs/>
        </w:rPr>
        <w:t xml:space="preserve"> gıda işletmelerinden </w:t>
      </w:r>
      <w:proofErr w:type="gramStart"/>
      <w:r w:rsidRPr="00AC7CEC">
        <w:rPr>
          <w:bCs/>
        </w:rPr>
        <w:t>alınan  numunenin</w:t>
      </w:r>
      <w:proofErr w:type="gramEnd"/>
      <w:r w:rsidRPr="00AC7CEC">
        <w:rPr>
          <w:bCs/>
        </w:rPr>
        <w:t xml:space="preserve"> muayene ve analiz sonucu olumsuz çıkan  numuneleri kapsa</w:t>
      </w:r>
      <w:r>
        <w:rPr>
          <w:bCs/>
        </w:rPr>
        <w:t>dığı, g</w:t>
      </w:r>
      <w:r w:rsidRPr="00AC7CEC">
        <w:rPr>
          <w:bCs/>
        </w:rPr>
        <w:t xml:space="preserve">üvensiz </w:t>
      </w:r>
      <w:r>
        <w:rPr>
          <w:bCs/>
        </w:rPr>
        <w:t>b</w:t>
      </w:r>
      <w:r w:rsidRPr="00AC7CEC">
        <w:rPr>
          <w:bCs/>
        </w:rPr>
        <w:t>ulunan ürünlere ilişkin bilgiler</w:t>
      </w:r>
      <w:r>
        <w:rPr>
          <w:bCs/>
        </w:rPr>
        <w:t>in</w:t>
      </w:r>
      <w:r w:rsidRPr="00AC7CEC">
        <w:rPr>
          <w:bCs/>
        </w:rPr>
        <w:t xml:space="preserve">, 5996 sayılı Kanun ve bu </w:t>
      </w:r>
      <w:r>
        <w:rPr>
          <w:bCs/>
        </w:rPr>
        <w:t>Kanun kapsamında yayımlanan, “G</w:t>
      </w:r>
      <w:r w:rsidRPr="00AC7CEC">
        <w:rPr>
          <w:bCs/>
        </w:rPr>
        <w:t>ıda ve Yemin Resm</w:t>
      </w:r>
      <w:r>
        <w:rPr>
          <w:bCs/>
        </w:rPr>
        <w:t>i Kontrollerine Dair Yönetmelik”</w:t>
      </w:r>
      <w:r w:rsidRPr="00AC7CEC">
        <w:rPr>
          <w:bCs/>
        </w:rPr>
        <w:t xml:space="preserve"> gereğince; yönetmeliğin yayım tarihi olan 17.12.2011 tarihinden sonra olmak kaydıyla; iç hukuk ve uluslararası hukuk ile güvence altına alınan, gizli soruşturma ve sürmekte olan adli ve idari işlemler, kişisel bilgiler, meslek sırları, gizli müzakereler, uluslararası ilişkiler ve ulusal savunma ile ilgili bilgiler hariç olmak üzere; laboratuvar sonucuyla taklit veya tağşiş yapıldığı kesinleşen gıda ile kişilerin hayatını ve sağlığını tehlikeye düşürecek şekilde bozulmuş, değiştirilmiş gıdaları üreten ve/veya satan firmanın adı, ürün adı, markası, parti ve/veya seri numarasını içeren bilgiler Bakanlığın resmi internet sitesi olan www.tarim.gov.tr adresinde duyurulmak suretiyle kamuoyunun bilgisine sunulan bilgileri kapsa</w:t>
      </w:r>
      <w:r>
        <w:rPr>
          <w:bCs/>
        </w:rPr>
        <w:t xml:space="preserve">dığı belirtilmiştir. </w:t>
      </w:r>
    </w:p>
    <w:p w:rsidR="009F311E" w:rsidRPr="008B2319" w:rsidRDefault="00094B1B" w:rsidP="009F311E">
      <w:pPr>
        <w:numPr>
          <w:ilvl w:val="0"/>
          <w:numId w:val="10"/>
        </w:numPr>
        <w:spacing w:after="240"/>
        <w:ind w:left="0" w:firstLine="0"/>
        <w:jc w:val="both"/>
        <w:rPr>
          <w:bCs/>
          <w:color w:val="000000" w:themeColor="text1"/>
        </w:rPr>
      </w:pPr>
      <w:r>
        <w:rPr>
          <w:bCs/>
        </w:rPr>
        <w:t>TK</w:t>
      </w:r>
      <w:r w:rsidR="00B676E0">
        <w:rPr>
          <w:bCs/>
        </w:rPr>
        <w:t>PG</w:t>
      </w:r>
      <w:r w:rsidR="00D252E4">
        <w:rPr>
          <w:bCs/>
        </w:rPr>
        <w:t xml:space="preserve">GM </w:t>
      </w:r>
      <w:r w:rsidR="00656DF8">
        <w:rPr>
          <w:bCs/>
        </w:rPr>
        <w:t>tarafından 201</w:t>
      </w:r>
      <w:r w:rsidR="00D252E4">
        <w:rPr>
          <w:bCs/>
        </w:rPr>
        <w:t>9</w:t>
      </w:r>
      <w:r w:rsidR="00656DF8">
        <w:rPr>
          <w:bCs/>
        </w:rPr>
        <w:t xml:space="preserve"> yılında </w:t>
      </w:r>
      <w:r w:rsidR="00D252E4">
        <w:rPr>
          <w:bCs/>
        </w:rPr>
        <w:t xml:space="preserve">2.686 parti ürün denetlenmiş 482 adet uygunsuzluk  ve 57 adet  güvensizlik tespit </w:t>
      </w:r>
      <w:proofErr w:type="spellStart"/>
      <w:proofErr w:type="gramStart"/>
      <w:r w:rsidR="00D252E4">
        <w:rPr>
          <w:bCs/>
        </w:rPr>
        <w:t>edilmiştir.Bu</w:t>
      </w:r>
      <w:proofErr w:type="spellEnd"/>
      <w:proofErr w:type="gramEnd"/>
      <w:r w:rsidR="00D252E4">
        <w:rPr>
          <w:bCs/>
        </w:rPr>
        <w:t xml:space="preserve"> kapsamda, Bakanlıkça denetlenen ürünler içerisinde uygunsuzluk oranı %18, güvensizlik oranı %2,1 olarak gerçekleşmiştir. Böylece denetlediği ürünler içerisinde en fazla güvensizlik tespit oranına sahip kuruluş olmuştur. </w:t>
      </w:r>
      <w:r w:rsidR="00122360">
        <w:rPr>
          <w:bCs/>
        </w:rPr>
        <w:t>20</w:t>
      </w:r>
      <w:r w:rsidR="00D252E4">
        <w:rPr>
          <w:bCs/>
        </w:rPr>
        <w:t xml:space="preserve">18 yılı ile kıyaslama yapıldığında 2018’de tespit edilen güvensizlik oranı %5,7 iken 2019’da bu oran %2,1’e düşmüştür. Uygunsuzluk tespit oranı 2018’de %38 iken 2019’da bu oran %18 olarak </w:t>
      </w:r>
      <w:proofErr w:type="spellStart"/>
      <w:proofErr w:type="gramStart"/>
      <w:r w:rsidR="00D252E4">
        <w:rPr>
          <w:bCs/>
        </w:rPr>
        <w:t>gerçekleşmiştir.Bu</w:t>
      </w:r>
      <w:proofErr w:type="spellEnd"/>
      <w:proofErr w:type="gramEnd"/>
      <w:r w:rsidR="00D252E4">
        <w:rPr>
          <w:bCs/>
        </w:rPr>
        <w:t xml:space="preserve"> kapsamda tespit edilen uygunsuzluk oranı %52, güvensizlik oranı da %63 azalmıştır</w:t>
      </w:r>
      <w:r w:rsidR="003C1193">
        <w:rPr>
          <w:bCs/>
        </w:rPr>
        <w:t xml:space="preserve">. </w:t>
      </w:r>
    </w:p>
    <w:p w:rsidR="001A4BB0" w:rsidRPr="008B2319" w:rsidRDefault="005C49DE" w:rsidP="006A3CE9">
      <w:pPr>
        <w:spacing w:after="240"/>
        <w:jc w:val="both"/>
        <w:rPr>
          <w:bCs/>
          <w:color w:val="000000" w:themeColor="text1"/>
        </w:rPr>
      </w:pPr>
      <w:r>
        <w:rPr>
          <w:bCs/>
          <w:color w:val="000000" w:themeColor="text1"/>
        </w:rPr>
        <w:t>Önceki yıl</w:t>
      </w:r>
      <w:r w:rsidR="00094B1B" w:rsidRPr="008B2319">
        <w:rPr>
          <w:bCs/>
          <w:color w:val="000000" w:themeColor="text1"/>
        </w:rPr>
        <w:t>da denetlediği ürünler i</w:t>
      </w:r>
      <w:r>
        <w:rPr>
          <w:bCs/>
          <w:color w:val="000000" w:themeColor="text1"/>
        </w:rPr>
        <w:t xml:space="preserve">çerisinde en yüksek uygunsuzluk </w:t>
      </w:r>
      <w:r w:rsidR="00094B1B" w:rsidRPr="008B2319">
        <w:rPr>
          <w:bCs/>
          <w:color w:val="000000" w:themeColor="text1"/>
        </w:rPr>
        <w:t xml:space="preserve">tespit oranına sahip olan kuruluş </w:t>
      </w:r>
      <w:r>
        <w:rPr>
          <w:bCs/>
          <w:color w:val="000000" w:themeColor="text1"/>
        </w:rPr>
        <w:t>TKPGGM</w:t>
      </w:r>
      <w:r w:rsidR="00094B1B" w:rsidRPr="008B2319">
        <w:rPr>
          <w:bCs/>
          <w:color w:val="000000" w:themeColor="text1"/>
        </w:rPr>
        <w:t xml:space="preserve"> iken, </w:t>
      </w:r>
      <w:r w:rsidR="0046029A" w:rsidRPr="008B2319">
        <w:rPr>
          <w:bCs/>
          <w:color w:val="000000" w:themeColor="text1"/>
        </w:rPr>
        <w:t xml:space="preserve">anılan Bakanlık </w:t>
      </w:r>
      <w:r>
        <w:rPr>
          <w:bCs/>
          <w:color w:val="000000" w:themeColor="text1"/>
        </w:rPr>
        <w:t>2019</w:t>
      </w:r>
      <w:r w:rsidRPr="008B2319">
        <w:rPr>
          <w:bCs/>
          <w:color w:val="000000" w:themeColor="text1"/>
        </w:rPr>
        <w:t xml:space="preserve"> yılında </w:t>
      </w:r>
      <w:r>
        <w:rPr>
          <w:bCs/>
          <w:color w:val="000000" w:themeColor="text1"/>
        </w:rPr>
        <w:t>uygunsuzluk tespitinde STB,</w:t>
      </w:r>
      <w:r w:rsidR="00094B1B" w:rsidRPr="008B2319">
        <w:rPr>
          <w:bCs/>
          <w:color w:val="000000" w:themeColor="text1"/>
        </w:rPr>
        <w:t xml:space="preserve"> BTK</w:t>
      </w:r>
      <w:r>
        <w:rPr>
          <w:bCs/>
          <w:color w:val="000000" w:themeColor="text1"/>
        </w:rPr>
        <w:t xml:space="preserve">, ÇŞB ve </w:t>
      </w:r>
      <w:proofErr w:type="spellStart"/>
      <w:r>
        <w:rPr>
          <w:bCs/>
          <w:color w:val="000000" w:themeColor="text1"/>
        </w:rPr>
        <w:t>SB’den</w:t>
      </w:r>
      <w:proofErr w:type="spellEnd"/>
      <w:r>
        <w:rPr>
          <w:bCs/>
          <w:color w:val="000000" w:themeColor="text1"/>
        </w:rPr>
        <w:t xml:space="preserve"> sonra gelerek beşinci</w:t>
      </w:r>
      <w:r w:rsidR="00094B1B" w:rsidRPr="008B2319">
        <w:rPr>
          <w:bCs/>
          <w:color w:val="000000" w:themeColor="text1"/>
        </w:rPr>
        <w:t xml:space="preserve"> sıraya gerilemiştir. </w:t>
      </w:r>
      <w:r w:rsidR="008E6D62" w:rsidRPr="008B2319">
        <w:rPr>
          <w:bCs/>
          <w:color w:val="000000" w:themeColor="text1"/>
        </w:rPr>
        <w:t xml:space="preserve">Bakanlıkta </w:t>
      </w:r>
      <w:r>
        <w:rPr>
          <w:bCs/>
          <w:color w:val="000000" w:themeColor="text1"/>
        </w:rPr>
        <w:t>uygunsuzluk tespit</w:t>
      </w:r>
      <w:r w:rsidR="008E6D62" w:rsidRPr="008B2319">
        <w:rPr>
          <w:bCs/>
          <w:color w:val="000000" w:themeColor="text1"/>
        </w:rPr>
        <w:t xml:space="preserve"> oran</w:t>
      </w:r>
      <w:r>
        <w:rPr>
          <w:bCs/>
          <w:color w:val="000000" w:themeColor="text1"/>
        </w:rPr>
        <w:t>ı</w:t>
      </w:r>
      <w:r w:rsidR="008E6D62" w:rsidRPr="008B2319">
        <w:rPr>
          <w:bCs/>
          <w:color w:val="000000" w:themeColor="text1"/>
        </w:rPr>
        <w:t xml:space="preserve"> 201</w:t>
      </w:r>
      <w:r>
        <w:rPr>
          <w:bCs/>
          <w:color w:val="000000" w:themeColor="text1"/>
        </w:rPr>
        <w:t>8</w:t>
      </w:r>
      <w:r w:rsidR="008E6D62" w:rsidRPr="008B2319">
        <w:rPr>
          <w:bCs/>
          <w:color w:val="000000" w:themeColor="text1"/>
        </w:rPr>
        <w:t>’</w:t>
      </w:r>
      <w:r w:rsidR="00A27505" w:rsidRPr="008B2319">
        <w:rPr>
          <w:bCs/>
          <w:color w:val="000000" w:themeColor="text1"/>
        </w:rPr>
        <w:t>de</w:t>
      </w:r>
      <w:r w:rsidR="008E6D62" w:rsidRPr="008B2319">
        <w:rPr>
          <w:bCs/>
          <w:color w:val="000000" w:themeColor="text1"/>
        </w:rPr>
        <w:t xml:space="preserve"> %</w:t>
      </w:r>
      <w:r w:rsidR="00A27505" w:rsidRPr="008B2319">
        <w:rPr>
          <w:bCs/>
          <w:color w:val="000000" w:themeColor="text1"/>
        </w:rPr>
        <w:t>38</w:t>
      </w:r>
      <w:r w:rsidR="006C25EB" w:rsidRPr="008B2319">
        <w:rPr>
          <w:bCs/>
          <w:color w:val="000000" w:themeColor="text1"/>
        </w:rPr>
        <w:t>i</w:t>
      </w:r>
      <w:r w:rsidR="008E6D62" w:rsidRPr="008B2319">
        <w:rPr>
          <w:bCs/>
          <w:color w:val="000000" w:themeColor="text1"/>
        </w:rPr>
        <w:t>ken 201</w:t>
      </w:r>
      <w:r>
        <w:rPr>
          <w:bCs/>
          <w:color w:val="000000" w:themeColor="text1"/>
        </w:rPr>
        <w:t>9</w:t>
      </w:r>
      <w:r w:rsidR="008E6D62" w:rsidRPr="008B2319">
        <w:rPr>
          <w:bCs/>
          <w:color w:val="000000" w:themeColor="text1"/>
        </w:rPr>
        <w:t>’d</w:t>
      </w:r>
      <w:r w:rsidR="007E351B" w:rsidRPr="008B2319">
        <w:rPr>
          <w:bCs/>
          <w:color w:val="000000" w:themeColor="text1"/>
        </w:rPr>
        <w:t>e</w:t>
      </w:r>
      <w:r w:rsidR="00AF054B" w:rsidRPr="008B2319">
        <w:rPr>
          <w:bCs/>
          <w:color w:val="000000" w:themeColor="text1"/>
        </w:rPr>
        <w:t>önemli oranda gerileyerek %</w:t>
      </w:r>
      <w:r>
        <w:rPr>
          <w:bCs/>
          <w:color w:val="000000" w:themeColor="text1"/>
        </w:rPr>
        <w:t>18</w:t>
      </w:r>
      <w:r w:rsidR="00AF054B" w:rsidRPr="008B2319">
        <w:rPr>
          <w:bCs/>
          <w:color w:val="000000" w:themeColor="text1"/>
        </w:rPr>
        <w:t xml:space="preserve"> olmuştur.</w:t>
      </w:r>
      <w:r>
        <w:rPr>
          <w:bCs/>
          <w:color w:val="000000" w:themeColor="text1"/>
        </w:rPr>
        <w:t xml:space="preserve"> Anılan Bakanlık güvensizlik tespitinde her iki yılda da öncü kuruluş olmuş ancak güvensizlik tespit oranı 2019 yılında azalmıştır. </w:t>
      </w:r>
    </w:p>
    <w:p w:rsidR="006E6F05" w:rsidRPr="008B2319" w:rsidRDefault="00561AE3" w:rsidP="009F311E">
      <w:pPr>
        <w:numPr>
          <w:ilvl w:val="0"/>
          <w:numId w:val="10"/>
        </w:numPr>
        <w:spacing w:after="240"/>
        <w:ind w:left="0" w:firstLine="0"/>
        <w:jc w:val="both"/>
        <w:rPr>
          <w:bCs/>
          <w:color w:val="000000" w:themeColor="text1"/>
        </w:rPr>
      </w:pPr>
      <w:r>
        <w:rPr>
          <w:bCs/>
          <w:color w:val="000000" w:themeColor="text1"/>
        </w:rPr>
        <w:t xml:space="preserve">Denetlediği ürünler içerisinde uygunsuzluk tespitinin en düşük olduğu kuruluş %2 oranı ile SB olmuştur. </w:t>
      </w:r>
      <w:r w:rsidR="00874AF4">
        <w:rPr>
          <w:bCs/>
          <w:color w:val="000000" w:themeColor="text1"/>
        </w:rPr>
        <w:t xml:space="preserve">SB </w:t>
      </w:r>
      <w:proofErr w:type="gramStart"/>
      <w:r w:rsidR="00874AF4">
        <w:rPr>
          <w:bCs/>
          <w:color w:val="000000" w:themeColor="text1"/>
        </w:rPr>
        <w:t>tarafından  kozmetiklerde</w:t>
      </w:r>
      <w:r w:rsidR="00AF054B" w:rsidRPr="008B2319">
        <w:rPr>
          <w:bCs/>
          <w:color w:val="000000" w:themeColor="text1"/>
        </w:rPr>
        <w:t>201</w:t>
      </w:r>
      <w:r w:rsidR="00874AF4">
        <w:rPr>
          <w:bCs/>
          <w:color w:val="000000" w:themeColor="text1"/>
        </w:rPr>
        <w:t>9</w:t>
      </w:r>
      <w:proofErr w:type="gramEnd"/>
      <w:r w:rsidR="00AF054B" w:rsidRPr="008B2319">
        <w:rPr>
          <w:bCs/>
          <w:color w:val="000000" w:themeColor="text1"/>
        </w:rPr>
        <w:t xml:space="preserve"> yılında </w:t>
      </w:r>
      <w:r w:rsidR="00874AF4">
        <w:rPr>
          <w:bCs/>
          <w:color w:val="000000" w:themeColor="text1"/>
        </w:rPr>
        <w:t xml:space="preserve">1.328parti </w:t>
      </w:r>
      <w:r w:rsidR="00AF054B" w:rsidRPr="008B2319">
        <w:rPr>
          <w:bCs/>
          <w:color w:val="000000" w:themeColor="text1"/>
        </w:rPr>
        <w:t xml:space="preserve">ürün denetlenmiş ve </w:t>
      </w:r>
      <w:r w:rsidR="00874AF4">
        <w:rPr>
          <w:bCs/>
          <w:color w:val="000000" w:themeColor="text1"/>
        </w:rPr>
        <w:t xml:space="preserve">801 adet uygunsuzluk ve 38 adet </w:t>
      </w:r>
      <w:r w:rsidR="00AF054B" w:rsidRPr="008B2319">
        <w:rPr>
          <w:bCs/>
          <w:color w:val="000000" w:themeColor="text1"/>
        </w:rPr>
        <w:t xml:space="preserve">güvensizlik tespit edilmiştir. </w:t>
      </w:r>
      <w:r w:rsidR="008E6D62" w:rsidRPr="008B2319">
        <w:rPr>
          <w:bCs/>
          <w:color w:val="000000" w:themeColor="text1"/>
        </w:rPr>
        <w:t>Bakanlığın sorumluluğunda bulunan “kozmetikler”</w:t>
      </w:r>
      <w:r w:rsidR="00A27505" w:rsidRPr="008B2319">
        <w:rPr>
          <w:bCs/>
          <w:color w:val="000000" w:themeColor="text1"/>
        </w:rPr>
        <w:t>201</w:t>
      </w:r>
      <w:r w:rsidR="00874AF4">
        <w:rPr>
          <w:bCs/>
          <w:color w:val="000000" w:themeColor="text1"/>
        </w:rPr>
        <w:t xml:space="preserve">9 yılında uygunsuzluk ve </w:t>
      </w:r>
      <w:r w:rsidR="00A27505" w:rsidRPr="008B2319">
        <w:rPr>
          <w:bCs/>
          <w:color w:val="000000" w:themeColor="text1"/>
        </w:rPr>
        <w:t>güvensizlik oranları en yüksek olan 10 ürün grubu içerisinde yer alm</w:t>
      </w:r>
      <w:r>
        <w:rPr>
          <w:bCs/>
          <w:color w:val="000000" w:themeColor="text1"/>
        </w:rPr>
        <w:t>ıştır. “T</w:t>
      </w:r>
      <w:r w:rsidR="008E6D62" w:rsidRPr="008B2319">
        <w:rPr>
          <w:bCs/>
          <w:color w:val="000000" w:themeColor="text1"/>
        </w:rPr>
        <w:t>ıbbi cihazlar” ürün gru</w:t>
      </w:r>
      <w:r>
        <w:rPr>
          <w:bCs/>
          <w:color w:val="000000" w:themeColor="text1"/>
        </w:rPr>
        <w:t>bu ise 201</w:t>
      </w:r>
      <w:r w:rsidR="000B1BB6">
        <w:rPr>
          <w:bCs/>
          <w:color w:val="000000" w:themeColor="text1"/>
        </w:rPr>
        <w:t>8</w:t>
      </w:r>
      <w:r w:rsidR="00A27505" w:rsidRPr="008B2319">
        <w:rPr>
          <w:bCs/>
          <w:color w:val="000000" w:themeColor="text1"/>
        </w:rPr>
        <w:t xml:space="preserve"> yılında uygunsuzluk/güvensizlik </w:t>
      </w:r>
      <w:r w:rsidR="00A27505" w:rsidRPr="008B2319">
        <w:rPr>
          <w:bCs/>
          <w:color w:val="000000" w:themeColor="text1"/>
        </w:rPr>
        <w:lastRenderedPageBreak/>
        <w:t>oranları en düşük olan 10 ür</w:t>
      </w:r>
      <w:r>
        <w:rPr>
          <w:bCs/>
          <w:color w:val="000000" w:themeColor="text1"/>
        </w:rPr>
        <w:t xml:space="preserve">ün grubu içerisinde yer almış olmasına rağmen 2019 yılında bu ürün grupları arasında yer </w:t>
      </w:r>
      <w:proofErr w:type="spellStart"/>
      <w:proofErr w:type="gramStart"/>
      <w:r>
        <w:rPr>
          <w:bCs/>
          <w:color w:val="000000" w:themeColor="text1"/>
        </w:rPr>
        <w:t>almamıştır</w:t>
      </w:r>
      <w:r w:rsidR="00A27505" w:rsidRPr="008B2319">
        <w:rPr>
          <w:bCs/>
          <w:color w:val="000000" w:themeColor="text1"/>
        </w:rPr>
        <w:t>.</w:t>
      </w:r>
      <w:r w:rsidR="00F11FFA" w:rsidRPr="008B2319">
        <w:rPr>
          <w:bCs/>
          <w:color w:val="000000" w:themeColor="text1"/>
        </w:rPr>
        <w:t>Öte</w:t>
      </w:r>
      <w:proofErr w:type="spellEnd"/>
      <w:proofErr w:type="gramEnd"/>
      <w:r w:rsidR="00F11FFA" w:rsidRPr="008B2319">
        <w:rPr>
          <w:bCs/>
          <w:color w:val="000000" w:themeColor="text1"/>
        </w:rPr>
        <w:t xml:space="preserve"> yandan, </w:t>
      </w:r>
      <w:r w:rsidR="00AF054B" w:rsidRPr="008B2319">
        <w:rPr>
          <w:bCs/>
          <w:color w:val="000000" w:themeColor="text1"/>
        </w:rPr>
        <w:t xml:space="preserve">2017 yılı üçüncü çeyreği </w:t>
      </w:r>
      <w:r w:rsidR="009F311E" w:rsidRPr="008B2319">
        <w:rPr>
          <w:bCs/>
          <w:color w:val="000000" w:themeColor="text1"/>
        </w:rPr>
        <w:t>itibariyle tıbbi cihazlar ve kozmetiklere</w:t>
      </w:r>
      <w:r w:rsidR="00AF054B" w:rsidRPr="008B2319">
        <w:rPr>
          <w:bCs/>
          <w:color w:val="000000" w:themeColor="text1"/>
        </w:rPr>
        <w:t xml:space="preserve"> ilişkin denetim kayıtları</w:t>
      </w:r>
      <w:r w:rsidR="00A27505" w:rsidRPr="008B2319">
        <w:rPr>
          <w:bCs/>
          <w:color w:val="000000" w:themeColor="text1"/>
        </w:rPr>
        <w:t>nın</w:t>
      </w:r>
      <w:r w:rsidR="00AF054B" w:rsidRPr="008B2319">
        <w:rPr>
          <w:bCs/>
          <w:color w:val="000000" w:themeColor="text1"/>
        </w:rPr>
        <w:t xml:space="preserve"> ÜTS üzerinden yapılmaya başlanmış</w:t>
      </w:r>
      <w:r w:rsidR="00A27505" w:rsidRPr="008B2319">
        <w:rPr>
          <w:bCs/>
          <w:color w:val="000000" w:themeColor="text1"/>
        </w:rPr>
        <w:t xml:space="preserve"> olması </w:t>
      </w:r>
      <w:r w:rsidR="008E6D62" w:rsidRPr="008B2319">
        <w:rPr>
          <w:bCs/>
          <w:color w:val="000000" w:themeColor="text1"/>
        </w:rPr>
        <w:t>Bakanlığın denetimlerini etkinleştirmek ve kamu kaynağını etkin kullanmak anlamında önemli adımlar attığı</w:t>
      </w:r>
      <w:r w:rsidR="00A27505" w:rsidRPr="008B2319">
        <w:rPr>
          <w:bCs/>
          <w:color w:val="000000" w:themeColor="text1"/>
        </w:rPr>
        <w:t>nı göster</w:t>
      </w:r>
      <w:r w:rsidR="008E6D62" w:rsidRPr="008B2319">
        <w:rPr>
          <w:bCs/>
          <w:color w:val="000000" w:themeColor="text1"/>
        </w:rPr>
        <w:t>mektedir.</w:t>
      </w:r>
    </w:p>
    <w:p w:rsidR="008E6D62" w:rsidRPr="00F11FFA" w:rsidRDefault="00AF054B" w:rsidP="00BE41A3">
      <w:pPr>
        <w:numPr>
          <w:ilvl w:val="0"/>
          <w:numId w:val="10"/>
        </w:numPr>
        <w:spacing w:after="240"/>
        <w:ind w:left="0" w:firstLine="0"/>
        <w:jc w:val="both"/>
        <w:rPr>
          <w:bCs/>
        </w:rPr>
      </w:pPr>
      <w:r>
        <w:rPr>
          <w:bCs/>
        </w:rPr>
        <w:t>201</w:t>
      </w:r>
      <w:r w:rsidR="00561AE3">
        <w:rPr>
          <w:bCs/>
        </w:rPr>
        <w:t>8</w:t>
      </w:r>
      <w:r>
        <w:rPr>
          <w:bCs/>
        </w:rPr>
        <w:t xml:space="preserve"> yılında %</w:t>
      </w:r>
      <w:r w:rsidR="00561AE3">
        <w:rPr>
          <w:bCs/>
        </w:rPr>
        <w:t>6</w:t>
      </w:r>
      <w:r>
        <w:rPr>
          <w:bCs/>
        </w:rPr>
        <w:t xml:space="preserve"> ile uygunsuzluk tespit oranı en düşük</w:t>
      </w:r>
      <w:r w:rsidR="00561AE3">
        <w:rPr>
          <w:bCs/>
        </w:rPr>
        <w:t xml:space="preserve"> ikinci</w:t>
      </w:r>
      <w:r>
        <w:rPr>
          <w:bCs/>
        </w:rPr>
        <w:t xml:space="preserve"> kurum olan </w:t>
      </w:r>
      <w:r w:rsidR="006E6F05">
        <w:rPr>
          <w:bCs/>
        </w:rPr>
        <w:t>UA</w:t>
      </w:r>
      <w:r w:rsidR="008E6D62" w:rsidRPr="00F11FFA">
        <w:rPr>
          <w:bCs/>
        </w:rPr>
        <w:t>B</w:t>
      </w:r>
      <w:r w:rsidR="006E6F05">
        <w:rPr>
          <w:bCs/>
        </w:rPr>
        <w:t>,</w:t>
      </w:r>
      <w:r>
        <w:rPr>
          <w:bCs/>
        </w:rPr>
        <w:t xml:space="preserve"> 201</w:t>
      </w:r>
      <w:r w:rsidR="006E6F05">
        <w:rPr>
          <w:bCs/>
        </w:rPr>
        <w:t>8</w:t>
      </w:r>
      <w:r>
        <w:rPr>
          <w:bCs/>
        </w:rPr>
        <w:t xml:space="preserve"> yılında denetlediği 4</w:t>
      </w:r>
      <w:r w:rsidR="006E6F05">
        <w:rPr>
          <w:bCs/>
        </w:rPr>
        <w:t>1</w:t>
      </w:r>
      <w:r w:rsidR="00561AE3">
        <w:rPr>
          <w:bCs/>
        </w:rPr>
        <w:t>1</w:t>
      </w:r>
      <w:r w:rsidR="006E6F05">
        <w:rPr>
          <w:bCs/>
        </w:rPr>
        <w:t xml:space="preserve"> üründe </w:t>
      </w:r>
      <w:r w:rsidR="00561AE3">
        <w:rPr>
          <w:bCs/>
        </w:rPr>
        <w:t>13 adet</w:t>
      </w:r>
      <w:r>
        <w:rPr>
          <w:bCs/>
        </w:rPr>
        <w:t xml:space="preserve"> uygunsuzluk tespit etmiş ve </w:t>
      </w:r>
      <w:r w:rsidRPr="000A0093">
        <w:rPr>
          <w:bCs/>
        </w:rPr>
        <w:t>uygunsuzluk tespit oranını %</w:t>
      </w:r>
      <w:r w:rsidR="00561AE3">
        <w:rPr>
          <w:bCs/>
        </w:rPr>
        <w:t>3’e</w:t>
      </w:r>
      <w:r w:rsidR="00B34F25">
        <w:rPr>
          <w:bCs/>
        </w:rPr>
        <w:t xml:space="preserve"> </w:t>
      </w:r>
      <w:r w:rsidR="00561AE3">
        <w:rPr>
          <w:bCs/>
        </w:rPr>
        <w:t>düşürmüştür. Denetlenen ürünlerde güvensizlik tespit edilmemiştir.</w:t>
      </w:r>
      <w:r w:rsidR="00B34F25">
        <w:rPr>
          <w:bCs/>
        </w:rPr>
        <w:t xml:space="preserve"> </w:t>
      </w:r>
      <w:r w:rsidR="00561AE3">
        <w:rPr>
          <w:bCs/>
        </w:rPr>
        <w:t xml:space="preserve">2019 yılında uygunsuzluk ve </w:t>
      </w:r>
      <w:r w:rsidRPr="000A0093">
        <w:rPr>
          <w:bCs/>
        </w:rPr>
        <w:t>güvensizlik tespit oranında a</w:t>
      </w:r>
      <w:r w:rsidR="00561AE3">
        <w:rPr>
          <w:bCs/>
        </w:rPr>
        <w:t>zalış görülmüş ve</w:t>
      </w:r>
      <w:r w:rsidR="00514659" w:rsidRPr="000A0093">
        <w:rPr>
          <w:bCs/>
        </w:rPr>
        <w:t xml:space="preserve"> bu oran</w:t>
      </w:r>
      <w:r w:rsidR="00FC4321">
        <w:rPr>
          <w:bCs/>
        </w:rPr>
        <w:t>lar</w:t>
      </w:r>
      <w:r w:rsidR="00514659" w:rsidRPr="000A0093">
        <w:rPr>
          <w:bCs/>
        </w:rPr>
        <w:t xml:space="preserve"> diğer yetkili kuruluşların tespit oranlarına </w:t>
      </w:r>
      <w:r w:rsidRPr="000A0093">
        <w:rPr>
          <w:bCs/>
        </w:rPr>
        <w:t xml:space="preserve">göre </w:t>
      </w:r>
      <w:r w:rsidR="003831FB">
        <w:rPr>
          <w:bCs/>
        </w:rPr>
        <w:t xml:space="preserve">oldukça </w:t>
      </w:r>
      <w:r w:rsidR="00FC4321">
        <w:rPr>
          <w:bCs/>
        </w:rPr>
        <w:t>düşük gerçekleşmiştir</w:t>
      </w:r>
      <w:r w:rsidRPr="000A0093">
        <w:rPr>
          <w:bCs/>
        </w:rPr>
        <w:t xml:space="preserve">. </w:t>
      </w:r>
      <w:proofErr w:type="spellStart"/>
      <w:r w:rsidR="008E6D62" w:rsidRPr="000A0093">
        <w:rPr>
          <w:bCs/>
        </w:rPr>
        <w:t>Bakanlığın</w:t>
      </w:r>
      <w:r w:rsidR="008E6D62" w:rsidRPr="00F11FFA">
        <w:rPr>
          <w:bCs/>
        </w:rPr>
        <w:t>denetimlerini</w:t>
      </w:r>
      <w:proofErr w:type="spellEnd"/>
      <w:r w:rsidR="008E6D62" w:rsidRPr="00F11FFA">
        <w:rPr>
          <w:bCs/>
        </w:rPr>
        <w:t xml:space="preserve"> etkinleştirmek ve kamu kaynağını etkin kullanmak anlamında programlamaya ve yüksek riskli ürünleri tespit etmeye odaklanmasının faydalı olacağı değerlendirilmektedir.</w:t>
      </w:r>
    </w:p>
    <w:p w:rsidR="008408F9" w:rsidRPr="00454080" w:rsidRDefault="008408F9" w:rsidP="00BE41A3">
      <w:pPr>
        <w:numPr>
          <w:ilvl w:val="0"/>
          <w:numId w:val="10"/>
        </w:numPr>
        <w:spacing w:after="240"/>
        <w:ind w:left="0" w:firstLine="0"/>
        <w:jc w:val="both"/>
        <w:rPr>
          <w:bCs/>
        </w:rPr>
      </w:pPr>
      <w:r w:rsidRPr="00454080">
        <w:rPr>
          <w:bCs/>
        </w:rPr>
        <w:t>BTK tarafından</w:t>
      </w:r>
      <w:r w:rsidR="00BE0B0D" w:rsidRPr="00454080">
        <w:rPr>
          <w:bCs/>
        </w:rPr>
        <w:t xml:space="preserve"> 201</w:t>
      </w:r>
      <w:r w:rsidR="00FC4321">
        <w:rPr>
          <w:bCs/>
        </w:rPr>
        <w:t>9</w:t>
      </w:r>
      <w:r w:rsidR="00BE0B0D" w:rsidRPr="00454080">
        <w:rPr>
          <w:bCs/>
        </w:rPr>
        <w:t xml:space="preserve"> yılında denetlenen </w:t>
      </w:r>
      <w:r w:rsidR="006E6F05" w:rsidRPr="00454080">
        <w:rPr>
          <w:bCs/>
        </w:rPr>
        <w:t>3</w:t>
      </w:r>
      <w:r w:rsidR="00FC4321">
        <w:rPr>
          <w:bCs/>
        </w:rPr>
        <w:t>.240</w:t>
      </w:r>
      <w:r w:rsidR="00BE0B0D" w:rsidRPr="00454080">
        <w:rPr>
          <w:bCs/>
        </w:rPr>
        <w:t xml:space="preserve"> ürün</w:t>
      </w:r>
      <w:r w:rsidR="00FC4321">
        <w:rPr>
          <w:bCs/>
        </w:rPr>
        <w:t xml:space="preserve"> partisin</w:t>
      </w:r>
      <w:r w:rsidR="00BE0B0D" w:rsidRPr="00454080">
        <w:rPr>
          <w:bCs/>
        </w:rPr>
        <w:t xml:space="preserve">den </w:t>
      </w:r>
      <w:r w:rsidR="00FC4321">
        <w:rPr>
          <w:bCs/>
        </w:rPr>
        <w:t>707</w:t>
      </w:r>
      <w:r w:rsidR="006E6F05" w:rsidRPr="00454080">
        <w:rPr>
          <w:bCs/>
        </w:rPr>
        <w:t>’si</w:t>
      </w:r>
      <w:r w:rsidR="00BE0B0D" w:rsidRPr="00454080">
        <w:rPr>
          <w:bCs/>
        </w:rPr>
        <w:t xml:space="preserve"> uygunsuz</w:t>
      </w:r>
      <w:r w:rsidR="00FC4321">
        <w:rPr>
          <w:bCs/>
        </w:rPr>
        <w:t xml:space="preserve"> ve 11’i güvensiz </w:t>
      </w:r>
      <w:r w:rsidR="00BE0B0D" w:rsidRPr="00FC4321">
        <w:rPr>
          <w:bCs/>
          <w:color w:val="000000" w:themeColor="text1"/>
        </w:rPr>
        <w:t xml:space="preserve">olarak tespit edilmiş olup, </w:t>
      </w:r>
      <w:r w:rsidR="00A86EEF" w:rsidRPr="00FC4321">
        <w:rPr>
          <w:bCs/>
          <w:color w:val="000000" w:themeColor="text1"/>
        </w:rPr>
        <w:t>201</w:t>
      </w:r>
      <w:r w:rsidR="00FC4321" w:rsidRPr="00FC4321">
        <w:rPr>
          <w:bCs/>
          <w:color w:val="000000" w:themeColor="text1"/>
        </w:rPr>
        <w:t>8</w:t>
      </w:r>
      <w:r w:rsidR="00A86EEF" w:rsidRPr="00FC4321">
        <w:rPr>
          <w:bCs/>
          <w:color w:val="000000" w:themeColor="text1"/>
        </w:rPr>
        <w:t xml:space="preserve"> yılında %2</w:t>
      </w:r>
      <w:r w:rsidR="00FC4321" w:rsidRPr="00FC4321">
        <w:rPr>
          <w:bCs/>
          <w:color w:val="000000" w:themeColor="text1"/>
        </w:rPr>
        <w:t>9</w:t>
      </w:r>
      <w:r w:rsidR="00A86EEF" w:rsidRPr="00FC4321">
        <w:rPr>
          <w:bCs/>
          <w:color w:val="000000" w:themeColor="text1"/>
        </w:rPr>
        <w:t xml:space="preserve"> olan denetimlerdeki </w:t>
      </w:r>
      <w:proofErr w:type="spellStart"/>
      <w:r w:rsidR="00A86EEF" w:rsidRPr="00FC4321">
        <w:rPr>
          <w:bCs/>
          <w:color w:val="000000" w:themeColor="text1"/>
        </w:rPr>
        <w:t>uygunsuzluktespit</w:t>
      </w:r>
      <w:proofErr w:type="spellEnd"/>
      <w:r w:rsidR="00A86EEF" w:rsidRPr="00FC4321">
        <w:rPr>
          <w:bCs/>
          <w:color w:val="000000" w:themeColor="text1"/>
        </w:rPr>
        <w:t xml:space="preserve"> oranı</w:t>
      </w:r>
      <w:r w:rsidR="006E6F05" w:rsidRPr="00FC4321">
        <w:rPr>
          <w:bCs/>
          <w:color w:val="000000" w:themeColor="text1"/>
        </w:rPr>
        <w:t xml:space="preserve"> 2018 yılında </w:t>
      </w:r>
      <w:r w:rsidR="00454080" w:rsidRPr="00FC4321">
        <w:rPr>
          <w:bCs/>
          <w:color w:val="000000" w:themeColor="text1"/>
        </w:rPr>
        <w:t>%</w:t>
      </w:r>
      <w:r w:rsidR="00FC4321" w:rsidRPr="00FC4321">
        <w:rPr>
          <w:bCs/>
          <w:color w:val="000000" w:themeColor="text1"/>
        </w:rPr>
        <w:t>22</w:t>
      </w:r>
      <w:r w:rsidR="006E6F05" w:rsidRPr="00FC4321">
        <w:rPr>
          <w:bCs/>
          <w:color w:val="000000" w:themeColor="text1"/>
        </w:rPr>
        <w:t>oran</w:t>
      </w:r>
      <w:r w:rsidR="00FC4321" w:rsidRPr="00FC4321">
        <w:rPr>
          <w:bCs/>
          <w:color w:val="000000" w:themeColor="text1"/>
        </w:rPr>
        <w:t xml:space="preserve">ına düşmüş, </w:t>
      </w:r>
      <w:r w:rsidR="00B676E0" w:rsidRPr="00FC4321">
        <w:rPr>
          <w:bCs/>
          <w:color w:val="000000" w:themeColor="text1"/>
        </w:rPr>
        <w:t xml:space="preserve">2019 yılında denetlediği ürünler içerisinde en fazla uygunsuzluk tespit oranına sahip ikinci </w:t>
      </w:r>
      <w:r w:rsidR="00B676E0">
        <w:rPr>
          <w:bCs/>
        </w:rPr>
        <w:t xml:space="preserve">kuruluş BTK olmuştur. </w:t>
      </w:r>
    </w:p>
    <w:p w:rsidR="00454223" w:rsidRDefault="00454223" w:rsidP="00BE41A3">
      <w:pPr>
        <w:spacing w:after="240"/>
        <w:jc w:val="both"/>
        <w:rPr>
          <w:noProof/>
          <w:lang w:eastAsia="tr-TR"/>
        </w:rPr>
      </w:pPr>
    </w:p>
    <w:p w:rsidR="0013690A" w:rsidRDefault="0013690A" w:rsidP="00BE41A3">
      <w:pPr>
        <w:spacing w:after="240"/>
        <w:jc w:val="both"/>
        <w:rPr>
          <w:noProof/>
          <w:lang w:eastAsia="tr-TR"/>
        </w:rPr>
      </w:pPr>
    </w:p>
    <w:p w:rsidR="0013690A" w:rsidRDefault="0013690A" w:rsidP="00BE41A3">
      <w:pPr>
        <w:spacing w:after="240"/>
        <w:jc w:val="both"/>
        <w:rPr>
          <w:noProof/>
          <w:lang w:eastAsia="tr-TR"/>
        </w:rPr>
      </w:pPr>
    </w:p>
    <w:p w:rsidR="0013690A" w:rsidRDefault="0013690A" w:rsidP="00BE41A3">
      <w:pPr>
        <w:spacing w:after="240"/>
        <w:jc w:val="both"/>
        <w:rPr>
          <w:noProof/>
          <w:lang w:eastAsia="tr-TR"/>
        </w:rPr>
      </w:pPr>
    </w:p>
    <w:p w:rsidR="0013690A" w:rsidRDefault="0013690A" w:rsidP="00BE41A3">
      <w:pPr>
        <w:spacing w:after="240"/>
        <w:jc w:val="both"/>
        <w:rPr>
          <w:noProof/>
          <w:lang w:eastAsia="tr-TR"/>
        </w:rPr>
      </w:pPr>
    </w:p>
    <w:p w:rsidR="0013690A" w:rsidRDefault="0013690A" w:rsidP="00BE41A3">
      <w:pPr>
        <w:spacing w:after="240"/>
        <w:jc w:val="both"/>
        <w:rPr>
          <w:noProof/>
          <w:lang w:eastAsia="tr-TR"/>
        </w:rPr>
      </w:pPr>
    </w:p>
    <w:p w:rsidR="0013690A" w:rsidRDefault="0013690A" w:rsidP="00BE41A3">
      <w:pPr>
        <w:spacing w:after="240"/>
        <w:jc w:val="both"/>
        <w:rPr>
          <w:noProof/>
          <w:lang w:eastAsia="tr-TR"/>
        </w:rPr>
      </w:pPr>
    </w:p>
    <w:p w:rsidR="0013690A" w:rsidRDefault="0013690A" w:rsidP="00BE41A3">
      <w:pPr>
        <w:spacing w:after="240"/>
        <w:jc w:val="both"/>
        <w:rPr>
          <w:noProof/>
          <w:lang w:eastAsia="tr-TR"/>
        </w:rPr>
      </w:pPr>
    </w:p>
    <w:p w:rsidR="0013690A" w:rsidRDefault="0013690A" w:rsidP="00BE41A3">
      <w:pPr>
        <w:spacing w:after="240"/>
        <w:jc w:val="both"/>
        <w:rPr>
          <w:noProof/>
          <w:lang w:eastAsia="tr-TR"/>
        </w:rPr>
      </w:pPr>
    </w:p>
    <w:p w:rsidR="0013690A" w:rsidRDefault="0013690A" w:rsidP="00BE41A3">
      <w:pPr>
        <w:spacing w:after="240"/>
        <w:jc w:val="both"/>
        <w:rPr>
          <w:noProof/>
          <w:lang w:eastAsia="tr-TR"/>
        </w:rPr>
      </w:pPr>
      <w:r>
        <w:rPr>
          <w:noProof/>
          <w:lang w:eastAsia="tr-TR"/>
        </w:rPr>
        <w:lastRenderedPageBreak/>
        <w:drawing>
          <wp:inline distT="0" distB="0" distL="0" distR="0">
            <wp:extent cx="6443831" cy="5497157"/>
            <wp:effectExtent l="57150" t="38100" r="52705" b="46990"/>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690A" w:rsidRDefault="0013690A" w:rsidP="00BE41A3">
      <w:pPr>
        <w:spacing w:after="240"/>
        <w:jc w:val="both"/>
        <w:rPr>
          <w:noProof/>
          <w:lang w:eastAsia="tr-TR"/>
        </w:rPr>
      </w:pPr>
    </w:p>
    <w:p w:rsidR="0013690A" w:rsidRDefault="0013690A" w:rsidP="00BE41A3">
      <w:pPr>
        <w:spacing w:after="240"/>
        <w:jc w:val="both"/>
        <w:rPr>
          <w:noProof/>
          <w:lang w:eastAsia="tr-TR"/>
        </w:rPr>
      </w:pPr>
    </w:p>
    <w:p w:rsidR="0013690A" w:rsidRPr="00F11FFA" w:rsidRDefault="0013690A" w:rsidP="00BE41A3">
      <w:pPr>
        <w:spacing w:after="240"/>
        <w:jc w:val="both"/>
        <w:rPr>
          <w:bCs/>
        </w:rPr>
      </w:pPr>
      <w:r>
        <w:rPr>
          <w:noProof/>
          <w:lang w:eastAsia="tr-TR"/>
        </w:rPr>
        <w:lastRenderedPageBreak/>
        <w:drawing>
          <wp:inline distT="0" distB="0" distL="0" distR="0">
            <wp:extent cx="5829300" cy="6096000"/>
            <wp:effectExtent l="57150" t="57150" r="19050" b="19050"/>
            <wp:docPr id="36"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4BFA" w:rsidRDefault="00385A81" w:rsidP="00BE41A3">
      <w:pPr>
        <w:tabs>
          <w:tab w:val="left" w:pos="540"/>
          <w:tab w:val="left" w:pos="1260"/>
        </w:tabs>
        <w:spacing w:after="240" w:line="360" w:lineRule="auto"/>
        <w:jc w:val="both"/>
        <w:rPr>
          <w:b/>
          <w:bCs/>
          <w:color w:val="000000" w:themeColor="text1"/>
        </w:rPr>
      </w:pPr>
      <w:r>
        <w:rPr>
          <w:noProof/>
          <w:lang w:eastAsia="tr-TR"/>
        </w:rPr>
        <w:lastRenderedPageBreak/>
        <w:drawing>
          <wp:inline distT="0" distB="0" distL="0" distR="0">
            <wp:extent cx="6191250" cy="5257800"/>
            <wp:effectExtent l="57150" t="57150" r="19050" b="19050"/>
            <wp:docPr id="63" name="Grafik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E3F24" w:rsidRDefault="00CE3F24" w:rsidP="00CE3F24">
      <w:pPr>
        <w:rPr>
          <w:b/>
          <w:color w:val="000000" w:themeColor="text1"/>
        </w:rPr>
      </w:pPr>
      <w:bookmarkStart w:id="13" w:name="_Toc4892867"/>
    </w:p>
    <w:p w:rsidR="00D57C13" w:rsidRDefault="00D57C13" w:rsidP="00CE3F24">
      <w:pPr>
        <w:rPr>
          <w:b/>
          <w:color w:val="000000" w:themeColor="text1"/>
        </w:rPr>
      </w:pPr>
    </w:p>
    <w:p w:rsidR="00D57C13" w:rsidRDefault="00D57C13" w:rsidP="00CE3F24">
      <w:pPr>
        <w:rPr>
          <w:b/>
          <w:color w:val="000000" w:themeColor="text1"/>
        </w:rPr>
      </w:pPr>
    </w:p>
    <w:p w:rsidR="00D57C13" w:rsidRDefault="00D57C13" w:rsidP="00CE3F24">
      <w:pPr>
        <w:rPr>
          <w:b/>
          <w:color w:val="000000" w:themeColor="text1"/>
        </w:rPr>
      </w:pPr>
    </w:p>
    <w:p w:rsidR="00D57C13" w:rsidRDefault="00D57C13" w:rsidP="00CE3F24">
      <w:pPr>
        <w:rPr>
          <w:b/>
          <w:color w:val="000000" w:themeColor="text1"/>
        </w:rPr>
      </w:pPr>
    </w:p>
    <w:p w:rsidR="00D57C13" w:rsidRDefault="00D57C13" w:rsidP="00CE3F24">
      <w:pPr>
        <w:rPr>
          <w:b/>
          <w:color w:val="000000" w:themeColor="text1"/>
        </w:rPr>
      </w:pPr>
    </w:p>
    <w:p w:rsidR="00D57C13" w:rsidRDefault="00D57C13" w:rsidP="00CE3F24">
      <w:pPr>
        <w:rPr>
          <w:b/>
          <w:color w:val="000000" w:themeColor="text1"/>
        </w:rPr>
      </w:pPr>
    </w:p>
    <w:p w:rsidR="00D57C13" w:rsidRDefault="00D57C13" w:rsidP="00CE3F24">
      <w:pPr>
        <w:rPr>
          <w:b/>
          <w:color w:val="000000" w:themeColor="text1"/>
        </w:rPr>
      </w:pPr>
    </w:p>
    <w:p w:rsidR="00D57C13" w:rsidRDefault="00D57C13" w:rsidP="00CE3F24">
      <w:pPr>
        <w:rPr>
          <w:b/>
          <w:color w:val="000000" w:themeColor="text1"/>
        </w:rPr>
      </w:pPr>
    </w:p>
    <w:p w:rsidR="00D57C13" w:rsidRDefault="00D57C13" w:rsidP="00CE3F24">
      <w:pPr>
        <w:rPr>
          <w:b/>
          <w:color w:val="000000" w:themeColor="text1"/>
        </w:rPr>
      </w:pPr>
    </w:p>
    <w:p w:rsidR="00D57C13" w:rsidRDefault="00D57C13" w:rsidP="00CE3F24">
      <w:pPr>
        <w:rPr>
          <w:b/>
          <w:color w:val="000000" w:themeColor="text1"/>
        </w:rPr>
      </w:pPr>
    </w:p>
    <w:p w:rsidR="00D57C13" w:rsidRDefault="00D57C13" w:rsidP="00CE3F24"/>
    <w:p w:rsidR="00CE3F24" w:rsidRDefault="00CE3F24" w:rsidP="00CE3F24"/>
    <w:p w:rsidR="00744A3B" w:rsidRDefault="00744A3B" w:rsidP="00CE3F24"/>
    <w:p w:rsidR="00744A3B" w:rsidRDefault="00744A3B" w:rsidP="00CE3F24"/>
    <w:p w:rsidR="00744A3B" w:rsidRDefault="00744A3B" w:rsidP="00CE3F24"/>
    <w:p w:rsidR="00CE3F24" w:rsidRDefault="00CE3F24" w:rsidP="00CE3F24"/>
    <w:p w:rsidR="00CE3F24" w:rsidRPr="00CE3F24" w:rsidRDefault="00CE3F24" w:rsidP="00CE3F24"/>
    <w:p w:rsidR="008408F9" w:rsidRPr="009525F6" w:rsidRDefault="008408F9" w:rsidP="009525F6">
      <w:pPr>
        <w:pStyle w:val="Balk1"/>
        <w:numPr>
          <w:ilvl w:val="0"/>
          <w:numId w:val="28"/>
        </w:numPr>
        <w:rPr>
          <w:color w:val="000000" w:themeColor="text1"/>
        </w:rPr>
      </w:pPr>
      <w:r w:rsidRPr="009525F6">
        <w:rPr>
          <w:color w:val="000000" w:themeColor="text1"/>
        </w:rPr>
        <w:lastRenderedPageBreak/>
        <w:t>İTHAL ÜRÜN/YERLİ ÜRÜN AYRIMI</w:t>
      </w:r>
      <w:bookmarkEnd w:id="13"/>
    </w:p>
    <w:p w:rsidR="008408F9" w:rsidRPr="003239A0" w:rsidRDefault="008408F9" w:rsidP="00BE41A3"/>
    <w:p w:rsidR="00A83D7F" w:rsidRPr="003239A0" w:rsidRDefault="00CE3F24" w:rsidP="00BE41A3">
      <w:pPr>
        <w:spacing w:after="240"/>
        <w:ind w:right="-994"/>
        <w:jc w:val="both"/>
        <w:rPr>
          <w:bCs/>
          <w:color w:val="000000" w:themeColor="text1"/>
        </w:rPr>
      </w:pPr>
      <w:r>
        <w:rPr>
          <w:noProof/>
          <w:lang w:eastAsia="tr-TR"/>
        </w:rPr>
        <w:drawing>
          <wp:inline distT="0" distB="0" distL="0" distR="0">
            <wp:extent cx="6196405" cy="4087906"/>
            <wp:effectExtent l="0" t="0" r="0" b="0"/>
            <wp:docPr id="44"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1BFF" w:rsidRPr="00521254" w:rsidRDefault="00C9655E" w:rsidP="00BE41A3">
      <w:pPr>
        <w:spacing w:after="240"/>
        <w:ind w:firstLine="709"/>
        <w:jc w:val="both"/>
        <w:rPr>
          <w:bCs/>
          <w:color w:val="000000" w:themeColor="text1"/>
        </w:rPr>
      </w:pPr>
      <w:r w:rsidRPr="00521254">
        <w:rPr>
          <w:bCs/>
          <w:color w:val="000000" w:themeColor="text1"/>
        </w:rPr>
        <w:t xml:space="preserve">Yetkili kuruluşlar </w:t>
      </w:r>
      <w:r w:rsidR="008408F9" w:rsidRPr="00521254">
        <w:rPr>
          <w:bCs/>
          <w:color w:val="000000" w:themeColor="text1"/>
        </w:rPr>
        <w:t xml:space="preserve">tarafından denetlenen </w:t>
      </w:r>
      <w:r w:rsidR="00677F3F" w:rsidRPr="00521254">
        <w:rPr>
          <w:bCs/>
          <w:color w:val="000000" w:themeColor="text1"/>
        </w:rPr>
        <w:t>267.594</w:t>
      </w:r>
      <w:r w:rsidR="00D57C13">
        <w:rPr>
          <w:bCs/>
          <w:color w:val="000000" w:themeColor="text1"/>
        </w:rPr>
        <w:t xml:space="preserve"> </w:t>
      </w:r>
      <w:r w:rsidR="008408F9" w:rsidRPr="00521254">
        <w:rPr>
          <w:bCs/>
          <w:color w:val="000000" w:themeColor="text1"/>
        </w:rPr>
        <w:t xml:space="preserve">ürün partisinin </w:t>
      </w:r>
      <w:r w:rsidR="00E371CD" w:rsidRPr="00521254">
        <w:rPr>
          <w:bCs/>
          <w:color w:val="000000" w:themeColor="text1"/>
        </w:rPr>
        <w:t>82.064’ü</w:t>
      </w:r>
      <w:r w:rsidRPr="00521254">
        <w:rPr>
          <w:bCs/>
          <w:color w:val="000000" w:themeColor="text1"/>
        </w:rPr>
        <w:t xml:space="preserve"> ithal ürünler olup ithal ürünler toplam denetlenen ürünlerin %</w:t>
      </w:r>
      <w:r w:rsidR="00E371CD" w:rsidRPr="00521254">
        <w:rPr>
          <w:bCs/>
          <w:color w:val="000000" w:themeColor="text1"/>
        </w:rPr>
        <w:t>30’unu</w:t>
      </w:r>
      <w:r w:rsidRPr="00521254">
        <w:rPr>
          <w:bCs/>
          <w:color w:val="000000" w:themeColor="text1"/>
        </w:rPr>
        <w:t xml:space="preserve"> oluşturmaktadır. </w:t>
      </w:r>
      <w:r w:rsidR="008408F9" w:rsidRPr="00521254">
        <w:rPr>
          <w:bCs/>
          <w:color w:val="000000" w:themeColor="text1"/>
        </w:rPr>
        <w:t>201</w:t>
      </w:r>
      <w:r w:rsidR="00E371CD" w:rsidRPr="00521254">
        <w:rPr>
          <w:bCs/>
          <w:color w:val="000000" w:themeColor="text1"/>
        </w:rPr>
        <w:t>9</w:t>
      </w:r>
      <w:r w:rsidR="008408F9" w:rsidRPr="00521254">
        <w:rPr>
          <w:bCs/>
          <w:color w:val="000000" w:themeColor="text1"/>
        </w:rPr>
        <w:t xml:space="preserve"> yılında toplam denetlenen ürünler içerisinde ithal ürünlerin oranında </w:t>
      </w:r>
      <w:r w:rsidRPr="00521254">
        <w:rPr>
          <w:bCs/>
          <w:color w:val="000000" w:themeColor="text1"/>
        </w:rPr>
        <w:t>%</w:t>
      </w:r>
      <w:r w:rsidR="00E371CD" w:rsidRPr="00521254">
        <w:rPr>
          <w:bCs/>
          <w:color w:val="000000" w:themeColor="text1"/>
        </w:rPr>
        <w:t>15’lik bir artış</w:t>
      </w:r>
      <w:r w:rsidRPr="00521254">
        <w:rPr>
          <w:bCs/>
          <w:color w:val="000000" w:themeColor="text1"/>
        </w:rPr>
        <w:t xml:space="preserve"> olmuş</w:t>
      </w:r>
      <w:r w:rsidR="00506F3A" w:rsidRPr="00521254">
        <w:rPr>
          <w:bCs/>
          <w:color w:val="000000" w:themeColor="text1"/>
        </w:rPr>
        <w:t xml:space="preserve">tur. </w:t>
      </w:r>
    </w:p>
    <w:p w:rsidR="008408F9" w:rsidRPr="008B2319" w:rsidRDefault="005725B7" w:rsidP="00BE41A3">
      <w:pPr>
        <w:spacing w:after="240"/>
        <w:ind w:firstLine="709"/>
        <w:jc w:val="both"/>
        <w:rPr>
          <w:bCs/>
          <w:strike/>
          <w:color w:val="000000" w:themeColor="text1"/>
        </w:rPr>
      </w:pPr>
      <w:r w:rsidRPr="00521254">
        <w:rPr>
          <w:bCs/>
          <w:color w:val="000000" w:themeColor="text1"/>
        </w:rPr>
        <w:t xml:space="preserve">Diğer taraftan </w:t>
      </w:r>
      <w:r w:rsidR="00C9655E" w:rsidRPr="00521254">
        <w:rPr>
          <w:bCs/>
          <w:color w:val="000000" w:themeColor="text1"/>
        </w:rPr>
        <w:t>toplam</w:t>
      </w:r>
      <w:r w:rsidR="00D57C13">
        <w:rPr>
          <w:bCs/>
          <w:color w:val="000000" w:themeColor="text1"/>
        </w:rPr>
        <w:t xml:space="preserve"> </w:t>
      </w:r>
      <w:r w:rsidR="008408F9" w:rsidRPr="008408F9">
        <w:rPr>
          <w:bCs/>
          <w:color w:val="000000" w:themeColor="text1"/>
        </w:rPr>
        <w:t xml:space="preserve">denetlenen </w:t>
      </w:r>
      <w:r w:rsidR="00C9655E" w:rsidRPr="008B2319">
        <w:rPr>
          <w:bCs/>
          <w:color w:val="000000" w:themeColor="text1"/>
        </w:rPr>
        <w:t>ürün sayısında 201</w:t>
      </w:r>
      <w:r w:rsidR="00E371CD">
        <w:rPr>
          <w:bCs/>
          <w:color w:val="000000" w:themeColor="text1"/>
        </w:rPr>
        <w:t>8</w:t>
      </w:r>
      <w:r w:rsidR="00C9655E" w:rsidRPr="008B2319">
        <w:rPr>
          <w:bCs/>
          <w:color w:val="000000" w:themeColor="text1"/>
        </w:rPr>
        <w:t xml:space="preserve"> yılına göre gerçekleşen </w:t>
      </w:r>
      <w:r w:rsidR="00E371CD">
        <w:rPr>
          <w:bCs/>
          <w:color w:val="000000" w:themeColor="text1"/>
        </w:rPr>
        <w:t>2019’daki artış</w:t>
      </w:r>
      <w:r w:rsidR="0021225D">
        <w:rPr>
          <w:bCs/>
          <w:color w:val="000000" w:themeColor="text1"/>
        </w:rPr>
        <w:t xml:space="preserve"> </w:t>
      </w:r>
      <w:r w:rsidR="008408F9" w:rsidRPr="008B2319">
        <w:rPr>
          <w:bCs/>
          <w:color w:val="000000" w:themeColor="text1"/>
        </w:rPr>
        <w:t>ithal ürün parti sayısı</w:t>
      </w:r>
      <w:r w:rsidR="00C9655E" w:rsidRPr="008B2319">
        <w:rPr>
          <w:bCs/>
          <w:color w:val="000000" w:themeColor="text1"/>
        </w:rPr>
        <w:t xml:space="preserve">na da yansımış </w:t>
      </w:r>
      <w:proofErr w:type="gramStart"/>
      <w:r w:rsidR="00C9655E" w:rsidRPr="008B2319">
        <w:rPr>
          <w:bCs/>
          <w:color w:val="000000" w:themeColor="text1"/>
        </w:rPr>
        <w:t xml:space="preserve">ve </w:t>
      </w:r>
      <w:r w:rsidR="008408F9" w:rsidRPr="008B2319">
        <w:rPr>
          <w:bCs/>
          <w:color w:val="000000" w:themeColor="text1"/>
        </w:rPr>
        <w:t xml:space="preserve"> toplam</w:t>
      </w:r>
      <w:proofErr w:type="gramEnd"/>
      <w:r w:rsidR="008408F9" w:rsidRPr="008B2319">
        <w:rPr>
          <w:bCs/>
          <w:color w:val="000000" w:themeColor="text1"/>
        </w:rPr>
        <w:t xml:space="preserve"> denetlenen </w:t>
      </w:r>
      <w:r w:rsidR="00C9655E" w:rsidRPr="008B2319">
        <w:rPr>
          <w:bCs/>
          <w:color w:val="000000" w:themeColor="text1"/>
        </w:rPr>
        <w:t>ithal ürün</w:t>
      </w:r>
      <w:r w:rsidR="00512DE0" w:rsidRPr="008B2319">
        <w:rPr>
          <w:bCs/>
          <w:color w:val="000000" w:themeColor="text1"/>
        </w:rPr>
        <w:t xml:space="preserve"> sayısı bir önceki </w:t>
      </w:r>
      <w:r w:rsidR="00E371CD">
        <w:rPr>
          <w:bCs/>
          <w:color w:val="000000" w:themeColor="text1"/>
        </w:rPr>
        <w:t>yıla göre %74 oranında artmıştır</w:t>
      </w:r>
      <w:r w:rsidR="00C9655E" w:rsidRPr="008B2319">
        <w:rPr>
          <w:bCs/>
          <w:color w:val="000000" w:themeColor="text1"/>
        </w:rPr>
        <w:t xml:space="preserve">. </w:t>
      </w:r>
      <w:r w:rsidRPr="008B2319">
        <w:rPr>
          <w:bCs/>
          <w:color w:val="000000" w:themeColor="text1"/>
        </w:rPr>
        <w:t xml:space="preserve">Ayrıca </w:t>
      </w:r>
      <w:r w:rsidR="008408F9" w:rsidRPr="008B2319">
        <w:rPr>
          <w:bCs/>
          <w:color w:val="000000" w:themeColor="text1"/>
        </w:rPr>
        <w:t>de</w:t>
      </w:r>
      <w:r w:rsidR="00E371CD">
        <w:rPr>
          <w:bCs/>
          <w:color w:val="000000" w:themeColor="text1"/>
        </w:rPr>
        <w:t>netlenen ithal ürün partilerinde 5.184 adet uygunsuzluk, 74 adet güvensizlik tespit edilmiştir. Bu kapsamda, denetlenen ithal ürünlerin</w:t>
      </w:r>
      <w:r w:rsidR="0021225D">
        <w:rPr>
          <w:bCs/>
          <w:color w:val="000000" w:themeColor="text1"/>
        </w:rPr>
        <w:t xml:space="preserve"> </w:t>
      </w:r>
      <w:r w:rsidR="008811F8" w:rsidRPr="008B2319">
        <w:rPr>
          <w:bCs/>
          <w:color w:val="000000" w:themeColor="text1"/>
        </w:rPr>
        <w:t xml:space="preserve">% 6’sı </w:t>
      </w:r>
      <w:r w:rsidR="00E371CD">
        <w:rPr>
          <w:bCs/>
          <w:color w:val="000000" w:themeColor="text1"/>
        </w:rPr>
        <w:t>uygunsuz ve</w:t>
      </w:r>
      <w:r w:rsidR="008408F9" w:rsidRPr="008B2319">
        <w:rPr>
          <w:bCs/>
          <w:color w:val="000000" w:themeColor="text1"/>
        </w:rPr>
        <w:t xml:space="preserve"> güvensiz bulunmuştur.</w:t>
      </w:r>
    </w:p>
    <w:p w:rsidR="0077161E" w:rsidRDefault="008408F9" w:rsidP="00BE41A3">
      <w:pPr>
        <w:numPr>
          <w:ilvl w:val="0"/>
          <w:numId w:val="11"/>
        </w:numPr>
        <w:spacing w:after="240"/>
        <w:ind w:left="0" w:firstLine="0"/>
        <w:jc w:val="both"/>
        <w:rPr>
          <w:bCs/>
          <w:color w:val="000000" w:themeColor="text1"/>
        </w:rPr>
      </w:pPr>
      <w:r w:rsidRPr="008B2319">
        <w:rPr>
          <w:bCs/>
          <w:color w:val="000000" w:themeColor="text1"/>
        </w:rPr>
        <w:t xml:space="preserve">Uygunsuz bulunan toplam ürünler içinde ithal ürünlerin oranında ise </w:t>
      </w:r>
      <w:r w:rsidR="00512DE0" w:rsidRPr="008B2319">
        <w:rPr>
          <w:bCs/>
          <w:color w:val="000000" w:themeColor="text1"/>
        </w:rPr>
        <w:t xml:space="preserve">azalma </w:t>
      </w:r>
      <w:r w:rsidRPr="008B2319">
        <w:rPr>
          <w:bCs/>
          <w:color w:val="000000" w:themeColor="text1"/>
        </w:rPr>
        <w:t>görülmektedir. 201</w:t>
      </w:r>
      <w:r w:rsidR="00E371CD">
        <w:rPr>
          <w:bCs/>
          <w:color w:val="000000" w:themeColor="text1"/>
        </w:rPr>
        <w:t>8</w:t>
      </w:r>
      <w:r w:rsidRPr="008B2319">
        <w:rPr>
          <w:bCs/>
          <w:color w:val="000000" w:themeColor="text1"/>
        </w:rPr>
        <w:t xml:space="preserve"> yılında %</w:t>
      </w:r>
      <w:r w:rsidR="00512DE0" w:rsidRPr="008B2319">
        <w:rPr>
          <w:bCs/>
          <w:color w:val="000000" w:themeColor="text1"/>
        </w:rPr>
        <w:t>3</w:t>
      </w:r>
      <w:r w:rsidR="00E371CD">
        <w:rPr>
          <w:bCs/>
          <w:color w:val="000000" w:themeColor="text1"/>
        </w:rPr>
        <w:t>0</w:t>
      </w:r>
      <w:r w:rsidR="00D57C13">
        <w:rPr>
          <w:bCs/>
          <w:color w:val="000000" w:themeColor="text1"/>
        </w:rPr>
        <w:t xml:space="preserve"> </w:t>
      </w:r>
      <w:r w:rsidR="00C161EF" w:rsidRPr="008B2319">
        <w:rPr>
          <w:bCs/>
          <w:color w:val="000000" w:themeColor="text1"/>
        </w:rPr>
        <w:t>olan</w:t>
      </w:r>
      <w:r w:rsidRPr="008B2319">
        <w:rPr>
          <w:bCs/>
          <w:color w:val="000000" w:themeColor="text1"/>
        </w:rPr>
        <w:t xml:space="preserve"> bu oran 201</w:t>
      </w:r>
      <w:r w:rsidR="00E371CD">
        <w:rPr>
          <w:bCs/>
          <w:color w:val="000000" w:themeColor="text1"/>
        </w:rPr>
        <w:t>9</w:t>
      </w:r>
      <w:r w:rsidR="00D57C13">
        <w:rPr>
          <w:bCs/>
          <w:color w:val="000000" w:themeColor="text1"/>
        </w:rPr>
        <w:t xml:space="preserve"> </w:t>
      </w:r>
      <w:r w:rsidRPr="008B2319">
        <w:rPr>
          <w:bCs/>
          <w:color w:val="000000" w:themeColor="text1"/>
        </w:rPr>
        <w:t xml:space="preserve">senesinde </w:t>
      </w:r>
      <w:r w:rsidR="008811F8" w:rsidRPr="008B2319">
        <w:rPr>
          <w:bCs/>
          <w:color w:val="000000" w:themeColor="text1"/>
        </w:rPr>
        <w:t>%</w:t>
      </w:r>
      <w:r w:rsidR="00E371CD">
        <w:rPr>
          <w:bCs/>
          <w:color w:val="000000" w:themeColor="text1"/>
        </w:rPr>
        <w:t>18’e</w:t>
      </w:r>
      <w:r w:rsidR="00D57C13">
        <w:rPr>
          <w:bCs/>
          <w:color w:val="000000" w:themeColor="text1"/>
        </w:rPr>
        <w:t xml:space="preserve"> </w:t>
      </w:r>
      <w:r w:rsidR="00512DE0" w:rsidRPr="008B2319">
        <w:rPr>
          <w:bCs/>
          <w:color w:val="000000" w:themeColor="text1"/>
        </w:rPr>
        <w:t>düşmüştür.</w:t>
      </w:r>
    </w:p>
    <w:p w:rsidR="00651A3C" w:rsidRPr="00651A3C" w:rsidRDefault="00651A3C" w:rsidP="00651A3C">
      <w:pPr>
        <w:numPr>
          <w:ilvl w:val="0"/>
          <w:numId w:val="11"/>
        </w:numPr>
        <w:spacing w:after="240"/>
        <w:ind w:left="0" w:firstLine="0"/>
        <w:jc w:val="both"/>
        <w:rPr>
          <w:bCs/>
          <w:color w:val="000000" w:themeColor="text1"/>
        </w:rPr>
      </w:pPr>
      <w:r>
        <w:rPr>
          <w:bCs/>
          <w:color w:val="000000" w:themeColor="text1"/>
        </w:rPr>
        <w:t>Güvensiz</w:t>
      </w:r>
      <w:r w:rsidRPr="008B2319">
        <w:rPr>
          <w:bCs/>
          <w:color w:val="000000" w:themeColor="text1"/>
        </w:rPr>
        <w:t xml:space="preserve"> bulunan toplam ürünler içinde ithal ürünlerin oranında ise azalma görülmektedir. 201</w:t>
      </w:r>
      <w:r>
        <w:rPr>
          <w:bCs/>
          <w:color w:val="000000" w:themeColor="text1"/>
        </w:rPr>
        <w:t>8</w:t>
      </w:r>
      <w:r w:rsidRPr="008B2319">
        <w:rPr>
          <w:bCs/>
          <w:color w:val="000000" w:themeColor="text1"/>
        </w:rPr>
        <w:t xml:space="preserve"> yılında %</w:t>
      </w:r>
      <w:r>
        <w:rPr>
          <w:bCs/>
          <w:color w:val="000000" w:themeColor="text1"/>
        </w:rPr>
        <w:t>13</w:t>
      </w:r>
      <w:r w:rsidRPr="008B2319">
        <w:rPr>
          <w:bCs/>
          <w:color w:val="000000" w:themeColor="text1"/>
        </w:rPr>
        <w:t xml:space="preserve"> olan bu oran 201</w:t>
      </w:r>
      <w:r>
        <w:rPr>
          <w:bCs/>
          <w:color w:val="000000" w:themeColor="text1"/>
        </w:rPr>
        <w:t>9</w:t>
      </w:r>
      <w:r w:rsidRPr="008B2319">
        <w:rPr>
          <w:bCs/>
          <w:color w:val="000000" w:themeColor="text1"/>
        </w:rPr>
        <w:t xml:space="preserve"> senesinde %</w:t>
      </w:r>
      <w:r>
        <w:rPr>
          <w:bCs/>
          <w:color w:val="000000" w:themeColor="text1"/>
        </w:rPr>
        <w:t>4’e</w:t>
      </w:r>
      <w:r w:rsidRPr="008B2319">
        <w:rPr>
          <w:bCs/>
          <w:color w:val="000000" w:themeColor="text1"/>
        </w:rPr>
        <w:t xml:space="preserve"> düşmüştür.</w:t>
      </w:r>
    </w:p>
    <w:p w:rsidR="008408F9" w:rsidRPr="008B2319" w:rsidRDefault="008408F9" w:rsidP="00BE41A3">
      <w:pPr>
        <w:numPr>
          <w:ilvl w:val="0"/>
          <w:numId w:val="11"/>
        </w:numPr>
        <w:spacing w:after="240"/>
        <w:ind w:left="0" w:firstLine="0"/>
        <w:jc w:val="both"/>
        <w:rPr>
          <w:bCs/>
          <w:color w:val="000000" w:themeColor="text1"/>
        </w:rPr>
      </w:pPr>
      <w:proofErr w:type="spellStart"/>
      <w:r w:rsidRPr="008B2319">
        <w:rPr>
          <w:bCs/>
          <w:color w:val="000000" w:themeColor="text1"/>
        </w:rPr>
        <w:t>STB’de</w:t>
      </w:r>
      <w:proofErr w:type="spellEnd"/>
      <w:r w:rsidRPr="008B2319">
        <w:rPr>
          <w:bCs/>
          <w:color w:val="000000" w:themeColor="text1"/>
        </w:rPr>
        <w:t xml:space="preserve">, denetlenen ithal ürün parti sayısı </w:t>
      </w:r>
      <w:r w:rsidR="00A77EFC" w:rsidRPr="008B2319">
        <w:rPr>
          <w:bCs/>
          <w:color w:val="000000" w:themeColor="text1"/>
        </w:rPr>
        <w:t>201</w:t>
      </w:r>
      <w:r w:rsidR="002B0D1D">
        <w:rPr>
          <w:bCs/>
          <w:color w:val="000000" w:themeColor="text1"/>
        </w:rPr>
        <w:t>8</w:t>
      </w:r>
      <w:r w:rsidR="00101153" w:rsidRPr="008B2319">
        <w:rPr>
          <w:bCs/>
          <w:color w:val="000000" w:themeColor="text1"/>
        </w:rPr>
        <w:t xml:space="preserve"> yılına göre </w:t>
      </w:r>
      <w:r w:rsidRPr="008B2319">
        <w:rPr>
          <w:bCs/>
          <w:color w:val="000000" w:themeColor="text1"/>
        </w:rPr>
        <w:t>%</w:t>
      </w:r>
      <w:r w:rsidR="00375716" w:rsidRPr="00D57C13">
        <w:rPr>
          <w:bCs/>
          <w:color w:val="000000" w:themeColor="text1"/>
        </w:rPr>
        <w:t>96</w:t>
      </w:r>
      <w:r w:rsidR="00D57C13">
        <w:rPr>
          <w:bCs/>
          <w:color w:val="00B050"/>
        </w:rPr>
        <w:t xml:space="preserve"> </w:t>
      </w:r>
      <w:r w:rsidRPr="008B2319">
        <w:rPr>
          <w:bCs/>
          <w:color w:val="000000" w:themeColor="text1"/>
        </w:rPr>
        <w:t>oranında</w:t>
      </w:r>
      <w:r w:rsidR="00D57C13">
        <w:rPr>
          <w:bCs/>
          <w:color w:val="000000" w:themeColor="text1"/>
        </w:rPr>
        <w:t xml:space="preserve"> </w:t>
      </w:r>
      <w:r w:rsidR="00101153" w:rsidRPr="008B2319">
        <w:rPr>
          <w:bCs/>
          <w:color w:val="000000" w:themeColor="text1"/>
        </w:rPr>
        <w:t>a</w:t>
      </w:r>
      <w:r w:rsidR="002B0D1D">
        <w:rPr>
          <w:bCs/>
          <w:color w:val="000000" w:themeColor="text1"/>
        </w:rPr>
        <w:t>rtarak</w:t>
      </w:r>
      <w:r w:rsidR="00D57C13">
        <w:rPr>
          <w:bCs/>
          <w:color w:val="000000" w:themeColor="text1"/>
        </w:rPr>
        <w:t xml:space="preserve"> </w:t>
      </w:r>
      <w:r w:rsidR="002B0D1D">
        <w:rPr>
          <w:bCs/>
          <w:color w:val="000000" w:themeColor="text1"/>
        </w:rPr>
        <w:t>57.817</w:t>
      </w:r>
      <w:r w:rsidR="00101153" w:rsidRPr="008B2319">
        <w:rPr>
          <w:bCs/>
          <w:color w:val="000000" w:themeColor="text1"/>
        </w:rPr>
        <w:t xml:space="preserve"> olarak gerçekleşmiş</w:t>
      </w:r>
      <w:r w:rsidRPr="008B2319">
        <w:rPr>
          <w:bCs/>
          <w:color w:val="000000" w:themeColor="text1"/>
        </w:rPr>
        <w:t xml:space="preserve">, </w:t>
      </w:r>
      <w:r w:rsidR="00101153" w:rsidRPr="008B2319">
        <w:rPr>
          <w:bCs/>
          <w:color w:val="000000" w:themeColor="text1"/>
        </w:rPr>
        <w:t xml:space="preserve">bu ürünlerin </w:t>
      </w:r>
      <w:r w:rsidR="00521254">
        <w:rPr>
          <w:bCs/>
          <w:color w:val="000000" w:themeColor="text1"/>
        </w:rPr>
        <w:t>3.499</w:t>
      </w:r>
      <w:r w:rsidR="002B0D1D">
        <w:rPr>
          <w:bCs/>
          <w:color w:val="000000" w:themeColor="text1"/>
        </w:rPr>
        <w:t>’</w:t>
      </w:r>
      <w:r w:rsidR="00521254">
        <w:rPr>
          <w:bCs/>
          <w:color w:val="000000" w:themeColor="text1"/>
        </w:rPr>
        <w:t>u</w:t>
      </w:r>
      <w:r w:rsidR="00B34F25">
        <w:rPr>
          <w:bCs/>
          <w:color w:val="000000" w:themeColor="text1"/>
        </w:rPr>
        <w:t xml:space="preserve"> </w:t>
      </w:r>
      <w:r w:rsidR="002B0D1D">
        <w:rPr>
          <w:bCs/>
          <w:color w:val="000000" w:themeColor="text1"/>
        </w:rPr>
        <w:t xml:space="preserve">uygunsuz ve </w:t>
      </w:r>
      <w:r w:rsidR="00521254">
        <w:rPr>
          <w:bCs/>
          <w:color w:val="000000" w:themeColor="text1"/>
        </w:rPr>
        <w:t>41</w:t>
      </w:r>
      <w:r w:rsidR="002B0D1D">
        <w:rPr>
          <w:bCs/>
          <w:color w:val="000000" w:themeColor="text1"/>
        </w:rPr>
        <w:t>’</w:t>
      </w:r>
      <w:r w:rsidR="00521254">
        <w:rPr>
          <w:bCs/>
          <w:color w:val="000000" w:themeColor="text1"/>
        </w:rPr>
        <w:t>i</w:t>
      </w:r>
      <w:r w:rsidR="00B34F25">
        <w:rPr>
          <w:bCs/>
          <w:color w:val="000000" w:themeColor="text1"/>
        </w:rPr>
        <w:t xml:space="preserve"> </w:t>
      </w:r>
      <w:r w:rsidR="00101153" w:rsidRPr="008B2319">
        <w:rPr>
          <w:bCs/>
          <w:color w:val="000000" w:themeColor="text1"/>
        </w:rPr>
        <w:t xml:space="preserve">güvensiz bulunmuştur. </w:t>
      </w:r>
      <w:r w:rsidR="00521254">
        <w:rPr>
          <w:bCs/>
          <w:color w:val="000000" w:themeColor="text1"/>
        </w:rPr>
        <w:t>Bakanlıkça d</w:t>
      </w:r>
      <w:r w:rsidRPr="008B2319">
        <w:rPr>
          <w:bCs/>
          <w:color w:val="000000" w:themeColor="text1"/>
        </w:rPr>
        <w:t>enetlene</w:t>
      </w:r>
      <w:r w:rsidR="00521254">
        <w:rPr>
          <w:bCs/>
          <w:color w:val="000000" w:themeColor="text1"/>
        </w:rPr>
        <w:t>n ithal ürünler içinde uygunsuz</w:t>
      </w:r>
      <w:r w:rsidRPr="008B2319">
        <w:rPr>
          <w:bCs/>
          <w:color w:val="000000" w:themeColor="text1"/>
        </w:rPr>
        <w:t xml:space="preserve"> bulunanların payı </w:t>
      </w:r>
      <w:r w:rsidR="00101153" w:rsidRPr="008B2319">
        <w:rPr>
          <w:bCs/>
          <w:color w:val="000000" w:themeColor="text1"/>
        </w:rPr>
        <w:t>ise bir önceki yıl</w:t>
      </w:r>
      <w:r w:rsidR="00A77EFC" w:rsidRPr="008B2319">
        <w:rPr>
          <w:bCs/>
          <w:color w:val="000000" w:themeColor="text1"/>
        </w:rPr>
        <w:t>da %</w:t>
      </w:r>
      <w:r w:rsidR="00521254">
        <w:rPr>
          <w:bCs/>
          <w:color w:val="000000" w:themeColor="text1"/>
        </w:rPr>
        <w:t>28 iken 2019’da</w:t>
      </w:r>
      <w:r w:rsidR="00B34F25">
        <w:rPr>
          <w:bCs/>
          <w:color w:val="000000" w:themeColor="text1"/>
        </w:rPr>
        <w:t xml:space="preserve"> </w:t>
      </w:r>
      <w:r w:rsidRPr="008B2319">
        <w:rPr>
          <w:bCs/>
          <w:color w:val="000000" w:themeColor="text1"/>
        </w:rPr>
        <w:t>%</w:t>
      </w:r>
      <w:r w:rsidR="00521254">
        <w:rPr>
          <w:bCs/>
          <w:color w:val="000000" w:themeColor="text1"/>
        </w:rPr>
        <w:t>6</w:t>
      </w:r>
      <w:r w:rsidR="00101153" w:rsidRPr="008B2319">
        <w:rPr>
          <w:bCs/>
          <w:color w:val="000000" w:themeColor="text1"/>
        </w:rPr>
        <w:t xml:space="preserve"> olarak gerçekleşmiştir.</w:t>
      </w:r>
      <w:r w:rsidR="00D57C13">
        <w:rPr>
          <w:bCs/>
          <w:color w:val="000000" w:themeColor="text1"/>
        </w:rPr>
        <w:t xml:space="preserve"> </w:t>
      </w:r>
      <w:r w:rsidR="00521254">
        <w:rPr>
          <w:bCs/>
          <w:color w:val="000000" w:themeColor="text1"/>
        </w:rPr>
        <w:t>Bakanlıkça d</w:t>
      </w:r>
      <w:r w:rsidR="00521254" w:rsidRPr="008B2319">
        <w:rPr>
          <w:bCs/>
          <w:color w:val="000000" w:themeColor="text1"/>
        </w:rPr>
        <w:t>enetlene</w:t>
      </w:r>
      <w:r w:rsidR="00521254">
        <w:rPr>
          <w:bCs/>
          <w:color w:val="000000" w:themeColor="text1"/>
        </w:rPr>
        <w:t>n ithal ürünler içinde güvensiz</w:t>
      </w:r>
      <w:r w:rsidR="00521254" w:rsidRPr="008B2319">
        <w:rPr>
          <w:bCs/>
          <w:color w:val="000000" w:themeColor="text1"/>
        </w:rPr>
        <w:t xml:space="preserve"> bulunanların </w:t>
      </w:r>
      <w:r w:rsidR="00521254">
        <w:rPr>
          <w:bCs/>
          <w:color w:val="000000" w:themeColor="text1"/>
        </w:rPr>
        <w:t xml:space="preserve">sayısı </w:t>
      </w:r>
      <w:r w:rsidR="00521254" w:rsidRPr="008B2319">
        <w:rPr>
          <w:bCs/>
          <w:color w:val="000000" w:themeColor="text1"/>
        </w:rPr>
        <w:t xml:space="preserve">bir önceki yılda </w:t>
      </w:r>
      <w:r w:rsidR="00521254">
        <w:rPr>
          <w:bCs/>
          <w:color w:val="000000" w:themeColor="text1"/>
        </w:rPr>
        <w:t>67 iken 2019’da</w:t>
      </w:r>
      <w:r w:rsidR="00B34F25">
        <w:rPr>
          <w:bCs/>
          <w:color w:val="000000" w:themeColor="text1"/>
        </w:rPr>
        <w:t xml:space="preserve"> </w:t>
      </w:r>
      <w:r w:rsidR="00521254">
        <w:rPr>
          <w:bCs/>
          <w:color w:val="000000" w:themeColor="text1"/>
        </w:rPr>
        <w:t>41</w:t>
      </w:r>
      <w:r w:rsidR="00521254" w:rsidRPr="008B2319">
        <w:rPr>
          <w:bCs/>
          <w:color w:val="000000" w:themeColor="text1"/>
        </w:rPr>
        <w:t xml:space="preserve"> olarak gerçekleşmiştir. </w:t>
      </w:r>
      <w:r w:rsidRPr="008B2319">
        <w:rPr>
          <w:bCs/>
          <w:color w:val="000000" w:themeColor="text1"/>
        </w:rPr>
        <w:t>Bakanlık tarafından tespit edilen uygunsuz</w:t>
      </w:r>
      <w:r w:rsidR="00521254">
        <w:rPr>
          <w:bCs/>
          <w:color w:val="000000" w:themeColor="text1"/>
        </w:rPr>
        <w:t>luklar</w:t>
      </w:r>
      <w:r w:rsidRPr="008B2319">
        <w:rPr>
          <w:bCs/>
          <w:color w:val="000000" w:themeColor="text1"/>
        </w:rPr>
        <w:t xml:space="preserve"> içe</w:t>
      </w:r>
      <w:r w:rsidR="00521254">
        <w:rPr>
          <w:bCs/>
          <w:color w:val="000000" w:themeColor="text1"/>
        </w:rPr>
        <w:t>risinde ithal edilen ürünlerdeki uygunsuzlukların</w:t>
      </w:r>
      <w:r w:rsidR="00BA39B5" w:rsidRPr="008B2319">
        <w:rPr>
          <w:bCs/>
          <w:color w:val="000000" w:themeColor="text1"/>
        </w:rPr>
        <w:t xml:space="preserve"> oranı </w:t>
      </w:r>
      <w:r w:rsidRPr="008B2319">
        <w:rPr>
          <w:bCs/>
          <w:color w:val="000000" w:themeColor="text1"/>
        </w:rPr>
        <w:t>%</w:t>
      </w:r>
      <w:r w:rsidR="00521254">
        <w:rPr>
          <w:bCs/>
          <w:color w:val="000000" w:themeColor="text1"/>
        </w:rPr>
        <w:t>37</w:t>
      </w:r>
      <w:r w:rsidR="00041B25" w:rsidRPr="008B2319">
        <w:rPr>
          <w:bCs/>
          <w:color w:val="000000" w:themeColor="text1"/>
        </w:rPr>
        <w:t>’</w:t>
      </w:r>
      <w:r w:rsidR="00521254">
        <w:rPr>
          <w:bCs/>
          <w:color w:val="000000" w:themeColor="text1"/>
        </w:rPr>
        <w:t>d</w:t>
      </w:r>
      <w:r w:rsidR="00041B25" w:rsidRPr="008B2319">
        <w:rPr>
          <w:bCs/>
          <w:color w:val="000000" w:themeColor="text1"/>
        </w:rPr>
        <w:t>e</w:t>
      </w:r>
      <w:r w:rsidR="00521254">
        <w:rPr>
          <w:bCs/>
          <w:color w:val="000000" w:themeColor="text1"/>
        </w:rPr>
        <w:t>n %19’a</w:t>
      </w:r>
      <w:r w:rsidR="00453AE1" w:rsidRPr="008B2319">
        <w:rPr>
          <w:bCs/>
          <w:color w:val="000000" w:themeColor="text1"/>
        </w:rPr>
        <w:t>gerilemiştir.</w:t>
      </w:r>
    </w:p>
    <w:p w:rsidR="008408F9" w:rsidRPr="003F1C2D" w:rsidRDefault="00453AE1" w:rsidP="00BE41A3">
      <w:pPr>
        <w:numPr>
          <w:ilvl w:val="0"/>
          <w:numId w:val="11"/>
        </w:numPr>
        <w:spacing w:after="240"/>
        <w:ind w:left="0" w:firstLine="0"/>
        <w:jc w:val="both"/>
        <w:rPr>
          <w:bCs/>
          <w:color w:val="000000" w:themeColor="text1"/>
        </w:rPr>
      </w:pPr>
      <w:proofErr w:type="spellStart"/>
      <w:r w:rsidRPr="003F1C2D">
        <w:rPr>
          <w:color w:val="000000" w:themeColor="text1"/>
        </w:rPr>
        <w:lastRenderedPageBreak/>
        <w:t>A</w:t>
      </w:r>
      <w:r w:rsidR="008408F9" w:rsidRPr="003F1C2D">
        <w:rPr>
          <w:bCs/>
          <w:color w:val="000000" w:themeColor="text1"/>
        </w:rPr>
        <w:t>ÇS</w:t>
      </w:r>
      <w:r w:rsidR="00B43EE7" w:rsidRPr="003F1C2D">
        <w:rPr>
          <w:bCs/>
          <w:color w:val="000000" w:themeColor="text1"/>
        </w:rPr>
        <w:t>H</w:t>
      </w:r>
      <w:r w:rsidR="008408F9" w:rsidRPr="003F1C2D">
        <w:rPr>
          <w:bCs/>
          <w:color w:val="000000" w:themeColor="text1"/>
        </w:rPr>
        <w:t>B’de</w:t>
      </w:r>
      <w:proofErr w:type="spellEnd"/>
      <w:r w:rsidR="008408F9" w:rsidRPr="003F1C2D">
        <w:rPr>
          <w:bCs/>
          <w:color w:val="000000" w:themeColor="text1"/>
        </w:rPr>
        <w:t xml:space="preserve"> toplam denetlenen ürün parti</w:t>
      </w:r>
      <w:r w:rsidR="000943FD" w:rsidRPr="003F1C2D">
        <w:rPr>
          <w:bCs/>
          <w:color w:val="000000" w:themeColor="text1"/>
        </w:rPr>
        <w:t>si içerisinde ithal ürünlerin payı %</w:t>
      </w:r>
      <w:r w:rsidRPr="003F1C2D">
        <w:rPr>
          <w:bCs/>
          <w:color w:val="000000" w:themeColor="text1"/>
        </w:rPr>
        <w:t>2</w:t>
      </w:r>
      <w:r w:rsidR="00F3225E" w:rsidRPr="003F1C2D">
        <w:rPr>
          <w:bCs/>
          <w:color w:val="000000" w:themeColor="text1"/>
        </w:rPr>
        <w:t xml:space="preserve">4,2 </w:t>
      </w:r>
      <w:r w:rsidR="000943FD" w:rsidRPr="003F1C2D">
        <w:rPr>
          <w:bCs/>
          <w:color w:val="000000" w:themeColor="text1"/>
        </w:rPr>
        <w:t>olarak gerçekleşmiştir.</w:t>
      </w:r>
      <w:r w:rsidR="008408F9" w:rsidRPr="003F1C2D">
        <w:rPr>
          <w:bCs/>
          <w:color w:val="000000" w:themeColor="text1"/>
        </w:rPr>
        <w:t xml:space="preserve"> Bununla birlikte denetlenen ithal ürünler</w:t>
      </w:r>
      <w:r w:rsidR="000943FD" w:rsidRPr="003F1C2D">
        <w:rPr>
          <w:bCs/>
          <w:color w:val="000000" w:themeColor="text1"/>
        </w:rPr>
        <w:t xml:space="preserve">de güvensizlik tespit edilmemiş, ürünlerin </w:t>
      </w:r>
      <w:r w:rsidR="00F3225E" w:rsidRPr="003F1C2D">
        <w:rPr>
          <w:bCs/>
          <w:color w:val="000000" w:themeColor="text1"/>
        </w:rPr>
        <w:t>14’ü</w:t>
      </w:r>
      <w:r w:rsidR="000943FD" w:rsidRPr="003F1C2D">
        <w:rPr>
          <w:bCs/>
          <w:color w:val="000000" w:themeColor="text1"/>
        </w:rPr>
        <w:t xml:space="preserve"> uygunsuz bulunmuştur.</w:t>
      </w:r>
      <w:r w:rsidR="00B34F25">
        <w:rPr>
          <w:bCs/>
          <w:color w:val="000000" w:themeColor="text1"/>
        </w:rPr>
        <w:t xml:space="preserve"> </w:t>
      </w:r>
      <w:bookmarkStart w:id="14" w:name="_GoBack"/>
      <w:bookmarkEnd w:id="14"/>
      <w:r w:rsidRPr="003F1C2D">
        <w:rPr>
          <w:bCs/>
          <w:color w:val="000000" w:themeColor="text1"/>
        </w:rPr>
        <w:t>İ</w:t>
      </w:r>
      <w:r w:rsidR="00A05396" w:rsidRPr="003F1C2D">
        <w:rPr>
          <w:bCs/>
          <w:color w:val="000000" w:themeColor="text1"/>
        </w:rPr>
        <w:t>thal ürünler i</w:t>
      </w:r>
      <w:r w:rsidRPr="003F1C2D">
        <w:rPr>
          <w:bCs/>
          <w:color w:val="000000" w:themeColor="text1"/>
        </w:rPr>
        <w:t>çerisinde uygunsuzluk oranı 2018</w:t>
      </w:r>
      <w:r w:rsidR="00A05396" w:rsidRPr="003F1C2D">
        <w:rPr>
          <w:bCs/>
          <w:color w:val="000000" w:themeColor="text1"/>
        </w:rPr>
        <w:t xml:space="preserve"> yılında</w:t>
      </w:r>
      <w:r w:rsidR="00F3225E" w:rsidRPr="003F1C2D">
        <w:rPr>
          <w:bCs/>
          <w:color w:val="000000" w:themeColor="text1"/>
        </w:rPr>
        <w:t xml:space="preserve"> %16 iken bu oran</w:t>
      </w:r>
      <w:r w:rsidR="00A05396" w:rsidRPr="003F1C2D">
        <w:rPr>
          <w:bCs/>
          <w:color w:val="000000" w:themeColor="text1"/>
        </w:rPr>
        <w:t xml:space="preserve"> bir önceki yıla göre gerileyerek</w:t>
      </w:r>
      <w:r w:rsidR="00F3225E" w:rsidRPr="003F1C2D">
        <w:rPr>
          <w:bCs/>
          <w:color w:val="000000" w:themeColor="text1"/>
        </w:rPr>
        <w:t xml:space="preserve"> 2019 </w:t>
      </w:r>
      <w:proofErr w:type="spellStart"/>
      <w:r w:rsidR="00F3225E" w:rsidRPr="003F1C2D">
        <w:rPr>
          <w:bCs/>
          <w:color w:val="000000" w:themeColor="text1"/>
        </w:rPr>
        <w:t>yılındayaklaşık</w:t>
      </w:r>
      <w:proofErr w:type="spellEnd"/>
      <w:r w:rsidR="00F3225E" w:rsidRPr="003F1C2D">
        <w:rPr>
          <w:bCs/>
          <w:color w:val="000000" w:themeColor="text1"/>
        </w:rPr>
        <w:t xml:space="preserve"> </w:t>
      </w:r>
      <w:r w:rsidR="00A05396" w:rsidRPr="003F1C2D">
        <w:rPr>
          <w:bCs/>
          <w:color w:val="000000" w:themeColor="text1"/>
        </w:rPr>
        <w:t>%</w:t>
      </w:r>
      <w:r w:rsidR="00F3225E" w:rsidRPr="003F1C2D">
        <w:rPr>
          <w:bCs/>
          <w:color w:val="000000" w:themeColor="text1"/>
        </w:rPr>
        <w:t>7</w:t>
      </w:r>
      <w:r w:rsidR="00A05396" w:rsidRPr="003F1C2D">
        <w:rPr>
          <w:bCs/>
          <w:color w:val="000000" w:themeColor="text1"/>
        </w:rPr>
        <w:t xml:space="preserve"> olarak kaydedilmiştir. </w:t>
      </w:r>
    </w:p>
    <w:p w:rsidR="00C674DF" w:rsidRPr="008B2319" w:rsidRDefault="001909B6" w:rsidP="00C674DF">
      <w:pPr>
        <w:numPr>
          <w:ilvl w:val="0"/>
          <w:numId w:val="11"/>
        </w:numPr>
        <w:ind w:left="0" w:firstLine="0"/>
        <w:jc w:val="both"/>
        <w:rPr>
          <w:color w:val="000000" w:themeColor="text1"/>
        </w:rPr>
      </w:pPr>
      <w:r w:rsidRPr="008B2319">
        <w:rPr>
          <w:color w:val="000000" w:themeColor="text1"/>
        </w:rPr>
        <w:t xml:space="preserve">ÇŞB tarafından denetlenen </w:t>
      </w:r>
      <w:r w:rsidR="00175C64" w:rsidRPr="008B2319">
        <w:rPr>
          <w:color w:val="000000" w:themeColor="text1"/>
        </w:rPr>
        <w:t xml:space="preserve">ithal ürün </w:t>
      </w:r>
      <w:r w:rsidR="008B4705">
        <w:rPr>
          <w:color w:val="000000" w:themeColor="text1"/>
        </w:rPr>
        <w:t xml:space="preserve">partisi </w:t>
      </w:r>
      <w:r w:rsidR="00175C64" w:rsidRPr="008B2319">
        <w:rPr>
          <w:color w:val="000000" w:themeColor="text1"/>
        </w:rPr>
        <w:t>sayısı top</w:t>
      </w:r>
      <w:r w:rsidR="008B4705">
        <w:rPr>
          <w:color w:val="000000" w:themeColor="text1"/>
        </w:rPr>
        <w:t>lam denetlenen ürün sayısının %3,45’ine</w:t>
      </w:r>
      <w:r w:rsidR="00175C64" w:rsidRPr="008B2319">
        <w:rPr>
          <w:color w:val="000000" w:themeColor="text1"/>
        </w:rPr>
        <w:t xml:space="preserve"> tekabül etmektedir. Denetlenen </w:t>
      </w:r>
      <w:r w:rsidR="008B4705">
        <w:rPr>
          <w:color w:val="000000" w:themeColor="text1"/>
        </w:rPr>
        <w:t>503</w:t>
      </w:r>
      <w:r w:rsidR="00175C64" w:rsidRPr="008B2319">
        <w:rPr>
          <w:color w:val="000000" w:themeColor="text1"/>
        </w:rPr>
        <w:t xml:space="preserve"> ithal ürün</w:t>
      </w:r>
      <w:r w:rsidR="008B4705">
        <w:rPr>
          <w:color w:val="000000" w:themeColor="text1"/>
        </w:rPr>
        <w:t xml:space="preserve"> partisin</w:t>
      </w:r>
      <w:r w:rsidR="00175C64" w:rsidRPr="008B2319">
        <w:rPr>
          <w:color w:val="000000" w:themeColor="text1"/>
        </w:rPr>
        <w:t>de güvensizlik te</w:t>
      </w:r>
      <w:r w:rsidR="00C674DF" w:rsidRPr="008B2319">
        <w:rPr>
          <w:color w:val="000000" w:themeColor="text1"/>
        </w:rPr>
        <w:t>spit edilmezken</w:t>
      </w:r>
      <w:r w:rsidR="008B4705">
        <w:rPr>
          <w:color w:val="000000" w:themeColor="text1"/>
        </w:rPr>
        <w:t xml:space="preserve"> bu ürünlerin %50 oranla 252’si </w:t>
      </w:r>
      <w:r w:rsidR="00C674DF" w:rsidRPr="008B2319">
        <w:rPr>
          <w:color w:val="000000" w:themeColor="text1"/>
        </w:rPr>
        <w:t>uygunsuz bulunmuştur.</w:t>
      </w:r>
    </w:p>
    <w:p w:rsidR="001909B6" w:rsidRPr="008B2319" w:rsidRDefault="001909B6" w:rsidP="00BE41A3">
      <w:pPr>
        <w:jc w:val="both"/>
        <w:rPr>
          <w:color w:val="000000" w:themeColor="text1"/>
        </w:rPr>
      </w:pPr>
    </w:p>
    <w:p w:rsidR="008408F9" w:rsidRPr="0089732D" w:rsidRDefault="00453AE1" w:rsidP="00BE41A3">
      <w:pPr>
        <w:numPr>
          <w:ilvl w:val="0"/>
          <w:numId w:val="11"/>
        </w:numPr>
        <w:ind w:left="0" w:firstLine="0"/>
        <w:jc w:val="both"/>
        <w:rPr>
          <w:color w:val="000000" w:themeColor="text1"/>
        </w:rPr>
      </w:pPr>
      <w:proofErr w:type="spellStart"/>
      <w:r w:rsidRPr="0089732D">
        <w:rPr>
          <w:color w:val="000000" w:themeColor="text1"/>
        </w:rPr>
        <w:t>TK</w:t>
      </w:r>
      <w:r w:rsidR="008B4705" w:rsidRPr="0089732D">
        <w:rPr>
          <w:color w:val="000000" w:themeColor="text1"/>
        </w:rPr>
        <w:t>PG</w:t>
      </w:r>
      <w:r w:rsidRPr="0089732D">
        <w:rPr>
          <w:color w:val="000000" w:themeColor="text1"/>
        </w:rPr>
        <w:t>GM</w:t>
      </w:r>
      <w:r w:rsidR="008B4705" w:rsidRPr="0089732D">
        <w:rPr>
          <w:color w:val="000000" w:themeColor="text1"/>
        </w:rPr>
        <w:t>’nin</w:t>
      </w:r>
      <w:proofErr w:type="spellEnd"/>
      <w:r w:rsidR="008B4705" w:rsidRPr="0089732D">
        <w:rPr>
          <w:color w:val="000000" w:themeColor="text1"/>
        </w:rPr>
        <w:t xml:space="preserve"> 2018 senesinde denetlediği</w:t>
      </w:r>
      <w:r w:rsidR="00EF30C6" w:rsidRPr="0089732D">
        <w:rPr>
          <w:color w:val="000000" w:themeColor="text1"/>
        </w:rPr>
        <w:t xml:space="preserve"> ürünler içerisinde ithal ürünlerin payı %</w:t>
      </w:r>
      <w:r w:rsidR="008B4705" w:rsidRPr="0089732D">
        <w:rPr>
          <w:color w:val="000000" w:themeColor="text1"/>
        </w:rPr>
        <w:t>35</w:t>
      </w:r>
      <w:r w:rsidR="00EF30C6" w:rsidRPr="0089732D">
        <w:rPr>
          <w:color w:val="000000" w:themeColor="text1"/>
        </w:rPr>
        <w:t xml:space="preserve"> iken, bu oran </w:t>
      </w:r>
      <w:r w:rsidR="008B4705" w:rsidRPr="0089732D">
        <w:rPr>
          <w:color w:val="000000" w:themeColor="text1"/>
        </w:rPr>
        <w:t>2019</w:t>
      </w:r>
      <w:r w:rsidRPr="0089732D">
        <w:rPr>
          <w:color w:val="000000" w:themeColor="text1"/>
        </w:rPr>
        <w:t xml:space="preserve"> senesinde %</w:t>
      </w:r>
      <w:r w:rsidR="008B4705" w:rsidRPr="0089732D">
        <w:rPr>
          <w:color w:val="000000" w:themeColor="text1"/>
        </w:rPr>
        <w:t>16</w:t>
      </w:r>
      <w:r w:rsidRPr="0089732D">
        <w:rPr>
          <w:color w:val="000000" w:themeColor="text1"/>
        </w:rPr>
        <w:t xml:space="preserve"> olmuştur. Bu rakamın 2017 senesine göre %</w:t>
      </w:r>
      <w:r w:rsidR="008B4705" w:rsidRPr="0089732D">
        <w:rPr>
          <w:color w:val="000000" w:themeColor="text1"/>
        </w:rPr>
        <w:t>54 oranında azaldığı</w:t>
      </w:r>
      <w:r w:rsidR="00EF30C6" w:rsidRPr="0089732D">
        <w:rPr>
          <w:color w:val="000000" w:themeColor="text1"/>
        </w:rPr>
        <w:t xml:space="preserve"> görülmektedir. </w:t>
      </w:r>
      <w:r w:rsidR="008408F9" w:rsidRPr="0089732D">
        <w:rPr>
          <w:color w:val="000000" w:themeColor="text1"/>
        </w:rPr>
        <w:t xml:space="preserve">Bakanlıkça </w:t>
      </w:r>
      <w:r w:rsidR="00EF30C6" w:rsidRPr="0089732D">
        <w:rPr>
          <w:color w:val="000000" w:themeColor="text1"/>
        </w:rPr>
        <w:t xml:space="preserve">toplam </w:t>
      </w:r>
      <w:r w:rsidR="008B4705" w:rsidRPr="0089732D">
        <w:rPr>
          <w:color w:val="000000" w:themeColor="text1"/>
        </w:rPr>
        <w:t>43</w:t>
      </w:r>
      <w:r w:rsidR="009147D0" w:rsidRPr="0089732D">
        <w:rPr>
          <w:color w:val="000000" w:themeColor="text1"/>
        </w:rPr>
        <w:t>7</w:t>
      </w:r>
      <w:r w:rsidRPr="0089732D">
        <w:rPr>
          <w:color w:val="000000" w:themeColor="text1"/>
        </w:rPr>
        <w:t xml:space="preserve"> ithal</w:t>
      </w:r>
      <w:r w:rsidR="00EF30C6" w:rsidRPr="0089732D">
        <w:rPr>
          <w:color w:val="000000" w:themeColor="text1"/>
        </w:rPr>
        <w:t xml:space="preserve"> ürün partisi denetlenmiş olup bunların </w:t>
      </w:r>
      <w:r w:rsidR="008B4705" w:rsidRPr="0089732D">
        <w:rPr>
          <w:color w:val="000000" w:themeColor="text1"/>
        </w:rPr>
        <w:t>11</w:t>
      </w:r>
      <w:r w:rsidRPr="0089732D">
        <w:rPr>
          <w:color w:val="000000" w:themeColor="text1"/>
        </w:rPr>
        <w:t>’</w:t>
      </w:r>
      <w:r w:rsidR="009147D0" w:rsidRPr="0089732D">
        <w:rPr>
          <w:color w:val="000000" w:themeColor="text1"/>
        </w:rPr>
        <w:t>i</w:t>
      </w:r>
      <w:r w:rsidR="00EF30C6" w:rsidRPr="0089732D">
        <w:rPr>
          <w:color w:val="000000" w:themeColor="text1"/>
        </w:rPr>
        <w:t xml:space="preserve"> güvensiz</w:t>
      </w:r>
      <w:r w:rsidRPr="0089732D">
        <w:rPr>
          <w:color w:val="000000" w:themeColor="text1"/>
        </w:rPr>
        <w:t xml:space="preserve">, </w:t>
      </w:r>
      <w:r w:rsidR="008B4705" w:rsidRPr="0089732D">
        <w:rPr>
          <w:color w:val="000000" w:themeColor="text1"/>
        </w:rPr>
        <w:t>3</w:t>
      </w:r>
      <w:r w:rsidR="009147D0" w:rsidRPr="0089732D">
        <w:rPr>
          <w:color w:val="000000" w:themeColor="text1"/>
        </w:rPr>
        <w:t>8’i</w:t>
      </w:r>
      <w:r w:rsidR="00EF30C6" w:rsidRPr="0089732D">
        <w:rPr>
          <w:color w:val="000000" w:themeColor="text1"/>
        </w:rPr>
        <w:t xml:space="preserve"> i</w:t>
      </w:r>
      <w:r w:rsidR="003F1C2D" w:rsidRPr="0089732D">
        <w:rPr>
          <w:color w:val="000000" w:themeColor="text1"/>
        </w:rPr>
        <w:t>se uygunsuz bulunmuştur. Bakanlık tarafından tespit edilen uygunsuzluklar i</w:t>
      </w:r>
      <w:r w:rsidR="008B4705" w:rsidRPr="0089732D">
        <w:rPr>
          <w:color w:val="000000" w:themeColor="text1"/>
        </w:rPr>
        <w:t>çerisinde</w:t>
      </w:r>
      <w:r w:rsidR="003F1C2D" w:rsidRPr="0089732D">
        <w:rPr>
          <w:color w:val="000000" w:themeColor="text1"/>
        </w:rPr>
        <w:t xml:space="preserve"> ithal edilen ve uygunsuz </w:t>
      </w:r>
      <w:r w:rsidR="008408F9" w:rsidRPr="0089732D">
        <w:rPr>
          <w:color w:val="000000" w:themeColor="text1"/>
        </w:rPr>
        <w:t>bulunan</w:t>
      </w:r>
      <w:r w:rsidR="009147D0" w:rsidRPr="0089732D">
        <w:rPr>
          <w:color w:val="000000" w:themeColor="text1"/>
        </w:rPr>
        <w:t>ların payı %</w:t>
      </w:r>
      <w:r w:rsidR="003F1C2D" w:rsidRPr="0089732D">
        <w:rPr>
          <w:color w:val="000000" w:themeColor="text1"/>
        </w:rPr>
        <w:t>9, tespit edilen güvensizlikler içerisinde ithal edilen ve güvensiz bulunanların payı ise %19</w:t>
      </w:r>
      <w:r w:rsidR="00EF30C6" w:rsidRPr="0089732D">
        <w:rPr>
          <w:color w:val="000000" w:themeColor="text1"/>
        </w:rPr>
        <w:t xml:space="preserve"> olmuştur. Bu veriler ışığında, Bakanlığın denetlediği ürün gruplarının doğrudan tüketiciler ve çocuklar için risk teşkil eden ürünler olduğu da göz önünde bulundurulduğunda, denetimlerde</w:t>
      </w:r>
      <w:r w:rsidR="003F1C2D" w:rsidRPr="0089732D">
        <w:rPr>
          <w:color w:val="000000" w:themeColor="text1"/>
        </w:rPr>
        <w:t xml:space="preserve"> ithal</w:t>
      </w:r>
      <w:r w:rsidR="00EF30C6" w:rsidRPr="0089732D">
        <w:rPr>
          <w:color w:val="000000" w:themeColor="text1"/>
        </w:rPr>
        <w:t xml:space="preserve"> ürünlerden ziyade </w:t>
      </w:r>
      <w:r w:rsidR="003F1C2D" w:rsidRPr="0089732D">
        <w:rPr>
          <w:color w:val="000000" w:themeColor="text1"/>
        </w:rPr>
        <w:t>yerli</w:t>
      </w:r>
      <w:r w:rsidR="00EF30C6" w:rsidRPr="0089732D">
        <w:rPr>
          <w:color w:val="000000" w:themeColor="text1"/>
        </w:rPr>
        <w:t xml:space="preserve"> ürünlere ağırlık </w:t>
      </w:r>
      <w:proofErr w:type="spellStart"/>
      <w:r w:rsidR="00EF30C6" w:rsidRPr="0089732D">
        <w:rPr>
          <w:color w:val="000000" w:themeColor="text1"/>
        </w:rPr>
        <w:t>verilemesinin</w:t>
      </w:r>
      <w:proofErr w:type="spellEnd"/>
      <w:r w:rsidR="00EF30C6" w:rsidRPr="0089732D">
        <w:rPr>
          <w:color w:val="000000" w:themeColor="text1"/>
        </w:rPr>
        <w:t xml:space="preserve"> uygun olabileceği değerlendirilmektedir. </w:t>
      </w:r>
    </w:p>
    <w:p w:rsidR="00EF30C6" w:rsidRPr="0089732D" w:rsidRDefault="00EF30C6" w:rsidP="00BE41A3">
      <w:pPr>
        <w:pStyle w:val="ListeParagraf"/>
        <w:ind w:left="0"/>
        <w:rPr>
          <w:color w:val="000000" w:themeColor="text1"/>
        </w:rPr>
      </w:pPr>
    </w:p>
    <w:p w:rsidR="009147D0" w:rsidRPr="0089732D" w:rsidRDefault="009147D0" w:rsidP="004F54CE">
      <w:pPr>
        <w:numPr>
          <w:ilvl w:val="0"/>
          <w:numId w:val="11"/>
        </w:numPr>
        <w:ind w:left="0" w:firstLine="0"/>
        <w:jc w:val="both"/>
        <w:rPr>
          <w:color w:val="000000" w:themeColor="text1"/>
        </w:rPr>
      </w:pPr>
      <w:r w:rsidRPr="0089732D">
        <w:rPr>
          <w:color w:val="000000" w:themeColor="text1"/>
        </w:rPr>
        <w:t>TO</w:t>
      </w:r>
      <w:r w:rsidR="008408F9" w:rsidRPr="0089732D">
        <w:rPr>
          <w:color w:val="000000" w:themeColor="text1"/>
        </w:rPr>
        <w:t xml:space="preserve">B tarafından </w:t>
      </w:r>
      <w:r w:rsidRPr="0089732D">
        <w:rPr>
          <w:color w:val="000000" w:themeColor="text1"/>
        </w:rPr>
        <w:t>201</w:t>
      </w:r>
      <w:r w:rsidR="00796F5B" w:rsidRPr="0089732D">
        <w:rPr>
          <w:color w:val="000000" w:themeColor="text1"/>
        </w:rPr>
        <w:t>9</w:t>
      </w:r>
      <w:r w:rsidR="00E007CC" w:rsidRPr="0089732D">
        <w:rPr>
          <w:color w:val="000000" w:themeColor="text1"/>
        </w:rPr>
        <w:t xml:space="preserve"> yılında </w:t>
      </w:r>
      <w:r w:rsidR="008408F9" w:rsidRPr="0089732D">
        <w:rPr>
          <w:color w:val="000000" w:themeColor="text1"/>
        </w:rPr>
        <w:t xml:space="preserve">denetlenen </w:t>
      </w:r>
      <w:r w:rsidR="00796F5B" w:rsidRPr="0089732D">
        <w:rPr>
          <w:color w:val="000000" w:themeColor="text1"/>
        </w:rPr>
        <w:t>114.804</w:t>
      </w:r>
      <w:r w:rsidR="008408F9" w:rsidRPr="0089732D">
        <w:rPr>
          <w:color w:val="000000" w:themeColor="text1"/>
        </w:rPr>
        <w:t>ürün</w:t>
      </w:r>
      <w:r w:rsidR="00796F5B" w:rsidRPr="0089732D">
        <w:rPr>
          <w:color w:val="000000" w:themeColor="text1"/>
        </w:rPr>
        <w:t xml:space="preserve"> partisi</w:t>
      </w:r>
      <w:r w:rsidR="008408F9" w:rsidRPr="0089732D">
        <w:rPr>
          <w:color w:val="000000" w:themeColor="text1"/>
        </w:rPr>
        <w:t xml:space="preserve"> içerisinde ithal olanların payı %</w:t>
      </w:r>
      <w:r w:rsidR="00E007CC" w:rsidRPr="0089732D">
        <w:rPr>
          <w:color w:val="000000" w:themeColor="text1"/>
        </w:rPr>
        <w:t>1</w:t>
      </w:r>
      <w:r w:rsidRPr="0089732D">
        <w:rPr>
          <w:color w:val="000000" w:themeColor="text1"/>
        </w:rPr>
        <w:t>4</w:t>
      </w:r>
      <w:r w:rsidR="008408F9" w:rsidRPr="0089732D">
        <w:rPr>
          <w:color w:val="000000" w:themeColor="text1"/>
        </w:rPr>
        <w:t xml:space="preserve"> olmuştur. </w:t>
      </w:r>
      <w:r w:rsidRPr="0089732D">
        <w:rPr>
          <w:color w:val="000000" w:themeColor="text1"/>
        </w:rPr>
        <w:t>Bakanlıkça toplam 1</w:t>
      </w:r>
      <w:r w:rsidR="00796F5B" w:rsidRPr="0089732D">
        <w:rPr>
          <w:color w:val="000000" w:themeColor="text1"/>
        </w:rPr>
        <w:t>5.584</w:t>
      </w:r>
      <w:r w:rsidRPr="0089732D">
        <w:rPr>
          <w:color w:val="000000" w:themeColor="text1"/>
        </w:rPr>
        <w:t xml:space="preserve"> ithal ürün par</w:t>
      </w:r>
      <w:r w:rsidR="00796F5B" w:rsidRPr="0089732D">
        <w:rPr>
          <w:color w:val="000000" w:themeColor="text1"/>
        </w:rPr>
        <w:t>tisi denetlenmiş olup bunların 1’</w:t>
      </w:r>
      <w:r w:rsidRPr="0089732D">
        <w:rPr>
          <w:color w:val="000000" w:themeColor="text1"/>
        </w:rPr>
        <w:t>i güvensiz, 2</w:t>
      </w:r>
      <w:r w:rsidR="00796F5B" w:rsidRPr="0089732D">
        <w:rPr>
          <w:color w:val="000000" w:themeColor="text1"/>
        </w:rPr>
        <w:t>56</w:t>
      </w:r>
      <w:r w:rsidRPr="0089732D">
        <w:rPr>
          <w:color w:val="000000" w:themeColor="text1"/>
        </w:rPr>
        <w:t>’</w:t>
      </w:r>
      <w:r w:rsidR="00796F5B" w:rsidRPr="0089732D">
        <w:rPr>
          <w:color w:val="000000" w:themeColor="text1"/>
        </w:rPr>
        <w:t>sı</w:t>
      </w:r>
      <w:r w:rsidRPr="0089732D">
        <w:rPr>
          <w:color w:val="000000" w:themeColor="text1"/>
        </w:rPr>
        <w:t xml:space="preserve"> ise uygunsuz bulunmuş, denetlenen ithal ürün</w:t>
      </w:r>
      <w:r w:rsidR="00796F5B" w:rsidRPr="0089732D">
        <w:rPr>
          <w:color w:val="000000" w:themeColor="text1"/>
        </w:rPr>
        <w:t>ler içerisinde uygunsuz</w:t>
      </w:r>
      <w:r w:rsidRPr="0089732D">
        <w:rPr>
          <w:color w:val="000000" w:themeColor="text1"/>
        </w:rPr>
        <w:t xml:space="preserve"> bulunanların payı %</w:t>
      </w:r>
      <w:r w:rsidR="00796F5B" w:rsidRPr="0089732D">
        <w:rPr>
          <w:color w:val="000000" w:themeColor="text1"/>
        </w:rPr>
        <w:t>1,6</w:t>
      </w:r>
      <w:r w:rsidRPr="0089732D">
        <w:rPr>
          <w:color w:val="000000" w:themeColor="text1"/>
        </w:rPr>
        <w:t xml:space="preserve"> olmuştur. </w:t>
      </w:r>
    </w:p>
    <w:p w:rsidR="008408F9" w:rsidRPr="0089732D" w:rsidRDefault="008408F9" w:rsidP="00BE41A3">
      <w:pPr>
        <w:jc w:val="both"/>
        <w:rPr>
          <w:color w:val="000000" w:themeColor="text1"/>
        </w:rPr>
      </w:pPr>
    </w:p>
    <w:p w:rsidR="00130F86" w:rsidRPr="0089732D" w:rsidRDefault="008408F9" w:rsidP="00130F86">
      <w:pPr>
        <w:numPr>
          <w:ilvl w:val="0"/>
          <w:numId w:val="11"/>
        </w:numPr>
        <w:ind w:left="0" w:firstLine="0"/>
        <w:jc w:val="both"/>
        <w:rPr>
          <w:color w:val="000000" w:themeColor="text1"/>
        </w:rPr>
      </w:pPr>
      <w:r w:rsidRPr="0089732D">
        <w:rPr>
          <w:color w:val="000000" w:themeColor="text1"/>
        </w:rPr>
        <w:t xml:space="preserve">SB tarafından </w:t>
      </w:r>
      <w:r w:rsidR="007B73B5" w:rsidRPr="0089732D">
        <w:rPr>
          <w:color w:val="000000" w:themeColor="text1"/>
        </w:rPr>
        <w:t xml:space="preserve">denetlenen </w:t>
      </w:r>
      <w:r w:rsidR="00796F5B" w:rsidRPr="0089732D">
        <w:rPr>
          <w:color w:val="000000" w:themeColor="text1"/>
        </w:rPr>
        <w:t>58.459</w:t>
      </w:r>
      <w:r w:rsidR="007B73B5" w:rsidRPr="0089732D">
        <w:rPr>
          <w:color w:val="000000" w:themeColor="text1"/>
        </w:rPr>
        <w:t xml:space="preserve"> ürün partisinin </w:t>
      </w:r>
      <w:r w:rsidR="00796F5B" w:rsidRPr="0089732D">
        <w:rPr>
          <w:color w:val="000000" w:themeColor="text1"/>
        </w:rPr>
        <w:t xml:space="preserve">4.516’sı </w:t>
      </w:r>
      <w:r w:rsidR="007B73B5" w:rsidRPr="0089732D">
        <w:rPr>
          <w:color w:val="000000" w:themeColor="text1"/>
        </w:rPr>
        <w:t>(%</w:t>
      </w:r>
      <w:r w:rsidR="00796F5B" w:rsidRPr="0089732D">
        <w:rPr>
          <w:color w:val="000000" w:themeColor="text1"/>
        </w:rPr>
        <w:t>8’i</w:t>
      </w:r>
      <w:r w:rsidR="007B73B5" w:rsidRPr="0089732D">
        <w:rPr>
          <w:color w:val="000000" w:themeColor="text1"/>
        </w:rPr>
        <w:t xml:space="preserve">) ithal olup, bu ürünlerin </w:t>
      </w:r>
      <w:r w:rsidR="00796F5B" w:rsidRPr="0089732D">
        <w:rPr>
          <w:color w:val="000000" w:themeColor="text1"/>
        </w:rPr>
        <w:t>415’</w:t>
      </w:r>
      <w:r w:rsidR="006569BB" w:rsidRPr="0089732D">
        <w:rPr>
          <w:color w:val="000000" w:themeColor="text1"/>
        </w:rPr>
        <w:t>inin</w:t>
      </w:r>
      <w:r w:rsidR="007B73B5" w:rsidRPr="0089732D">
        <w:rPr>
          <w:color w:val="000000" w:themeColor="text1"/>
        </w:rPr>
        <w:t xml:space="preserve"> uygunsuz</w:t>
      </w:r>
      <w:r w:rsidR="00960D6B" w:rsidRPr="0089732D">
        <w:rPr>
          <w:color w:val="000000" w:themeColor="text1"/>
        </w:rPr>
        <w:t>,</w:t>
      </w:r>
      <w:r w:rsidR="00796F5B" w:rsidRPr="0089732D">
        <w:rPr>
          <w:color w:val="000000" w:themeColor="text1"/>
        </w:rPr>
        <w:t>10’unu</w:t>
      </w:r>
      <w:r w:rsidR="006569BB" w:rsidRPr="0089732D">
        <w:rPr>
          <w:color w:val="000000" w:themeColor="text1"/>
        </w:rPr>
        <w:t>n</w:t>
      </w:r>
      <w:r w:rsidR="007B73B5" w:rsidRPr="0089732D">
        <w:rPr>
          <w:color w:val="000000" w:themeColor="text1"/>
        </w:rPr>
        <w:t xml:space="preserve"> ise güvensiz </w:t>
      </w:r>
      <w:r w:rsidR="007B73B5" w:rsidRPr="00D57C13">
        <w:rPr>
          <w:color w:val="000000" w:themeColor="text1"/>
        </w:rPr>
        <w:t xml:space="preserve">olduğu tespit edilmiştir. </w:t>
      </w:r>
      <w:proofErr w:type="spellStart"/>
      <w:r w:rsidR="007B73B5" w:rsidRPr="00D57C13">
        <w:rPr>
          <w:color w:val="000000" w:themeColor="text1"/>
        </w:rPr>
        <w:t>Bakanlıkça</w:t>
      </w:r>
      <w:r w:rsidR="00E007CC" w:rsidRPr="00D57C13">
        <w:rPr>
          <w:color w:val="000000" w:themeColor="text1"/>
        </w:rPr>
        <w:t>kozmetikler</w:t>
      </w:r>
      <w:proofErr w:type="spellEnd"/>
      <w:r w:rsidR="00E007CC" w:rsidRPr="00D57C13">
        <w:rPr>
          <w:color w:val="000000" w:themeColor="text1"/>
        </w:rPr>
        <w:t xml:space="preserve"> ürün grubunda denetlenen 1</w:t>
      </w:r>
      <w:r w:rsidR="00130F86" w:rsidRPr="00D57C13">
        <w:rPr>
          <w:color w:val="000000" w:themeColor="text1"/>
        </w:rPr>
        <w:t>.328 parti</w:t>
      </w:r>
      <w:r w:rsidR="00E007CC" w:rsidRPr="00D57C13">
        <w:rPr>
          <w:color w:val="000000" w:themeColor="text1"/>
        </w:rPr>
        <w:t xml:space="preserve"> ürünün </w:t>
      </w:r>
      <w:r w:rsidR="007B73B5" w:rsidRPr="00D57C13">
        <w:rPr>
          <w:color w:val="000000" w:themeColor="text1"/>
        </w:rPr>
        <w:t xml:space="preserve">ise </w:t>
      </w:r>
      <w:r w:rsidR="00130F86" w:rsidRPr="00D57C13">
        <w:rPr>
          <w:color w:val="000000" w:themeColor="text1"/>
        </w:rPr>
        <w:t>504</w:t>
      </w:r>
      <w:r w:rsidR="006569BB" w:rsidRPr="00D57C13">
        <w:rPr>
          <w:color w:val="000000" w:themeColor="text1"/>
        </w:rPr>
        <w:t>’ü (%</w:t>
      </w:r>
      <w:r w:rsidR="00293944" w:rsidRPr="00D57C13">
        <w:rPr>
          <w:color w:val="000000" w:themeColor="text1"/>
        </w:rPr>
        <w:t>38</w:t>
      </w:r>
      <w:r w:rsidR="00E007CC" w:rsidRPr="00D57C13">
        <w:rPr>
          <w:color w:val="000000" w:themeColor="text1"/>
        </w:rPr>
        <w:t>) ithal olup, d</w:t>
      </w:r>
      <w:r w:rsidRPr="00D57C13">
        <w:rPr>
          <w:color w:val="000000" w:themeColor="text1"/>
        </w:rPr>
        <w:t>enetlenen ithal ürünlerin %</w:t>
      </w:r>
      <w:r w:rsidR="00130F86" w:rsidRPr="00D57C13">
        <w:rPr>
          <w:color w:val="000000" w:themeColor="text1"/>
        </w:rPr>
        <w:t>54’ünün</w:t>
      </w:r>
      <w:r w:rsidRPr="00D57C13">
        <w:rPr>
          <w:color w:val="000000" w:themeColor="text1"/>
        </w:rPr>
        <w:t>(</w:t>
      </w:r>
      <w:r w:rsidR="00130F86" w:rsidRPr="00D57C13">
        <w:rPr>
          <w:color w:val="000000" w:themeColor="text1"/>
        </w:rPr>
        <w:t>274 adet) uygunsuz ve</w:t>
      </w:r>
      <w:r w:rsidR="00D57C13">
        <w:rPr>
          <w:color w:val="000000" w:themeColor="text1"/>
        </w:rPr>
        <w:t xml:space="preserve"> </w:t>
      </w:r>
      <w:r w:rsidR="00130F86" w:rsidRPr="00D57C13">
        <w:rPr>
          <w:color w:val="000000" w:themeColor="text1"/>
        </w:rPr>
        <w:t xml:space="preserve">%2’sinin (8 adet) </w:t>
      </w:r>
      <w:r w:rsidRPr="00D57C13">
        <w:rPr>
          <w:color w:val="000000" w:themeColor="text1"/>
        </w:rPr>
        <w:t>güvensiz ol</w:t>
      </w:r>
      <w:r w:rsidR="00E007CC" w:rsidRPr="00D57C13">
        <w:rPr>
          <w:color w:val="000000" w:themeColor="text1"/>
        </w:rPr>
        <w:t>duğu tespit edilmiştir. Bakanlıkça bu alanda denetlenen ithal ürün sayısı 201</w:t>
      </w:r>
      <w:r w:rsidR="00130F86" w:rsidRPr="00D57C13">
        <w:rPr>
          <w:color w:val="000000" w:themeColor="text1"/>
        </w:rPr>
        <w:t>9</w:t>
      </w:r>
      <w:r w:rsidR="00D57C13">
        <w:rPr>
          <w:color w:val="000000" w:themeColor="text1"/>
        </w:rPr>
        <w:t xml:space="preserve"> </w:t>
      </w:r>
      <w:r w:rsidR="00097758" w:rsidRPr="00D57C13">
        <w:rPr>
          <w:color w:val="000000" w:themeColor="text1"/>
        </w:rPr>
        <w:t>senesin</w:t>
      </w:r>
      <w:r w:rsidR="00E007CC" w:rsidRPr="00D57C13">
        <w:rPr>
          <w:color w:val="000000" w:themeColor="text1"/>
        </w:rPr>
        <w:t>de %</w:t>
      </w:r>
      <w:r w:rsidR="00130F86" w:rsidRPr="00D57C13">
        <w:rPr>
          <w:color w:val="000000" w:themeColor="text1"/>
        </w:rPr>
        <w:t>42</w:t>
      </w:r>
      <w:r w:rsidR="00E007CC" w:rsidRPr="00D57C13">
        <w:rPr>
          <w:color w:val="000000" w:themeColor="text1"/>
        </w:rPr>
        <w:t xml:space="preserve"> oranında</w:t>
      </w:r>
      <w:r w:rsidR="006569BB" w:rsidRPr="00D57C13">
        <w:rPr>
          <w:color w:val="000000" w:themeColor="text1"/>
        </w:rPr>
        <w:t xml:space="preserve"> azalmış, buna rağmen</w:t>
      </w:r>
      <w:r w:rsidR="00E007CC" w:rsidRPr="00D57C13">
        <w:rPr>
          <w:color w:val="000000" w:themeColor="text1"/>
        </w:rPr>
        <w:t xml:space="preserve"> tespit edilen uygunsuzluk</w:t>
      </w:r>
      <w:r w:rsidR="00130F86" w:rsidRPr="00D57C13">
        <w:rPr>
          <w:color w:val="000000" w:themeColor="text1"/>
        </w:rPr>
        <w:t xml:space="preserve"> oranı</w:t>
      </w:r>
      <w:r w:rsidR="00E007CC" w:rsidRPr="00D57C13">
        <w:rPr>
          <w:color w:val="000000" w:themeColor="text1"/>
        </w:rPr>
        <w:t xml:space="preserve"> ise</w:t>
      </w:r>
      <w:r w:rsidR="00130F86" w:rsidRPr="00D57C13">
        <w:rPr>
          <w:color w:val="000000" w:themeColor="text1"/>
        </w:rPr>
        <w:t xml:space="preserve"> bir önceki yıl</w:t>
      </w:r>
      <w:r w:rsidR="00D57C13">
        <w:rPr>
          <w:color w:val="000000" w:themeColor="text1"/>
        </w:rPr>
        <w:t xml:space="preserve"> </w:t>
      </w:r>
      <w:r w:rsidR="00E007CC" w:rsidRPr="00D57C13">
        <w:rPr>
          <w:color w:val="000000" w:themeColor="text1"/>
        </w:rPr>
        <w:t>%</w:t>
      </w:r>
      <w:r w:rsidR="004C7566" w:rsidRPr="00D57C13">
        <w:rPr>
          <w:color w:val="000000" w:themeColor="text1"/>
        </w:rPr>
        <w:t>44</w:t>
      </w:r>
      <w:r w:rsidR="00130F86" w:rsidRPr="00D57C13">
        <w:rPr>
          <w:color w:val="000000" w:themeColor="text1"/>
        </w:rPr>
        <w:t xml:space="preserve"> iken 2019’da %54</w:t>
      </w:r>
      <w:r w:rsidR="00D57C13">
        <w:rPr>
          <w:color w:val="000000" w:themeColor="text1"/>
        </w:rPr>
        <w:t xml:space="preserve"> </w:t>
      </w:r>
      <w:r w:rsidR="00130F86" w:rsidRPr="00D57C13">
        <w:rPr>
          <w:color w:val="000000" w:themeColor="text1"/>
        </w:rPr>
        <w:t>oranında gerçekleşmiştir</w:t>
      </w:r>
      <w:r w:rsidR="00E007CC" w:rsidRPr="00D57C13">
        <w:rPr>
          <w:color w:val="000000" w:themeColor="text1"/>
        </w:rPr>
        <w:t>.</w:t>
      </w:r>
      <w:r w:rsidR="004C7566" w:rsidRPr="00D57C13">
        <w:rPr>
          <w:color w:val="000000" w:themeColor="text1"/>
        </w:rPr>
        <w:t xml:space="preserve"> Bu kapsamda, 2019</w:t>
      </w:r>
      <w:r w:rsidR="006569BB" w:rsidRPr="00D57C13">
        <w:rPr>
          <w:color w:val="000000" w:themeColor="text1"/>
        </w:rPr>
        <w:t xml:space="preserve"> yılında kozmetiklerde ithalat denetimlerinin</w:t>
      </w:r>
      <w:r w:rsidR="006569BB" w:rsidRPr="0089732D">
        <w:rPr>
          <w:color w:val="000000" w:themeColor="text1"/>
        </w:rPr>
        <w:t xml:space="preserve"> etkin bir şekilde yapıldığı görülmektedir. </w:t>
      </w:r>
      <w:proofErr w:type="spellStart"/>
      <w:r w:rsidR="00130F86" w:rsidRPr="0089732D">
        <w:rPr>
          <w:color w:val="000000" w:themeColor="text1"/>
        </w:rPr>
        <w:t>Biyosidal</w:t>
      </w:r>
      <w:proofErr w:type="spellEnd"/>
      <w:r w:rsidR="00130F86" w:rsidRPr="0089732D">
        <w:rPr>
          <w:color w:val="000000" w:themeColor="text1"/>
        </w:rPr>
        <w:t xml:space="preserve"> ürünlerde 2019 yılında 3.252 ürün partisinde ithalat denetimi yapılmış, 28 adet uygunsuzluk tespit edilmiştir. Bununla birlikte bahse konu ithal ürün denetimlerinde bir güvensizlik tespiti olmamıştır.</w:t>
      </w:r>
    </w:p>
    <w:p w:rsidR="009573F9" w:rsidRPr="00565CF7" w:rsidRDefault="009573F9" w:rsidP="00BE41A3">
      <w:pPr>
        <w:jc w:val="both"/>
        <w:rPr>
          <w:color w:val="000000" w:themeColor="text1"/>
        </w:rPr>
      </w:pPr>
    </w:p>
    <w:p w:rsidR="00FD30D3" w:rsidRPr="00847822" w:rsidRDefault="00FD30D3" w:rsidP="00BE41A3">
      <w:pPr>
        <w:numPr>
          <w:ilvl w:val="0"/>
          <w:numId w:val="11"/>
        </w:numPr>
        <w:ind w:left="0" w:firstLine="0"/>
        <w:jc w:val="both"/>
        <w:rPr>
          <w:color w:val="000000" w:themeColor="text1"/>
        </w:rPr>
      </w:pPr>
      <w:r w:rsidRPr="00565CF7">
        <w:rPr>
          <w:color w:val="000000" w:themeColor="text1"/>
        </w:rPr>
        <w:t>U</w:t>
      </w:r>
      <w:r w:rsidR="006569BB">
        <w:rPr>
          <w:color w:val="000000" w:themeColor="text1"/>
        </w:rPr>
        <w:t>A</w:t>
      </w:r>
      <w:r w:rsidRPr="00565CF7">
        <w:rPr>
          <w:color w:val="000000" w:themeColor="text1"/>
        </w:rPr>
        <w:t xml:space="preserve">B tarafından denetlenen </w:t>
      </w:r>
      <w:r w:rsidR="00130F86">
        <w:rPr>
          <w:color w:val="000000" w:themeColor="text1"/>
        </w:rPr>
        <w:t>73</w:t>
      </w:r>
      <w:r w:rsidRPr="00565CF7">
        <w:rPr>
          <w:color w:val="000000" w:themeColor="text1"/>
        </w:rPr>
        <w:t xml:space="preserve"> ithal ürün partisinin </w:t>
      </w:r>
      <w:r w:rsidR="006569BB">
        <w:rPr>
          <w:color w:val="000000" w:themeColor="text1"/>
        </w:rPr>
        <w:t>3’ünü</w:t>
      </w:r>
      <w:r w:rsidR="00565CF7" w:rsidRPr="00565CF7">
        <w:rPr>
          <w:color w:val="000000" w:themeColor="text1"/>
        </w:rPr>
        <w:t xml:space="preserve">n uygunsuz olduğu ve hiçbirinde </w:t>
      </w:r>
      <w:r w:rsidR="00565CF7" w:rsidRPr="00847822">
        <w:rPr>
          <w:color w:val="000000" w:themeColor="text1"/>
        </w:rPr>
        <w:t xml:space="preserve">güvensizliğe rastlanmadığı görülmektedir. </w:t>
      </w:r>
    </w:p>
    <w:p w:rsidR="00FD30D3" w:rsidRPr="00847822" w:rsidRDefault="00FD30D3" w:rsidP="00BE41A3">
      <w:pPr>
        <w:pStyle w:val="ListeParagraf"/>
        <w:ind w:left="0"/>
        <w:rPr>
          <w:color w:val="000000" w:themeColor="text1"/>
        </w:rPr>
      </w:pPr>
    </w:p>
    <w:p w:rsidR="009525F6" w:rsidRDefault="008408F9" w:rsidP="009525F6">
      <w:pPr>
        <w:numPr>
          <w:ilvl w:val="0"/>
          <w:numId w:val="11"/>
        </w:numPr>
        <w:ind w:left="0" w:firstLine="0"/>
        <w:jc w:val="both"/>
        <w:rPr>
          <w:color w:val="000000" w:themeColor="text1"/>
        </w:rPr>
      </w:pPr>
      <w:r w:rsidRPr="008811F8">
        <w:rPr>
          <w:color w:val="000000" w:themeColor="text1"/>
        </w:rPr>
        <w:t xml:space="preserve">BTK tarafından denetlenen </w:t>
      </w:r>
      <w:r w:rsidR="00130F86">
        <w:rPr>
          <w:color w:val="000000" w:themeColor="text1"/>
        </w:rPr>
        <w:t>3.240</w:t>
      </w:r>
      <w:r w:rsidR="00D57C13">
        <w:rPr>
          <w:color w:val="000000" w:themeColor="text1"/>
        </w:rPr>
        <w:t xml:space="preserve"> </w:t>
      </w:r>
      <w:r w:rsidRPr="008811F8">
        <w:rPr>
          <w:color w:val="000000" w:themeColor="text1"/>
        </w:rPr>
        <w:t>ürün</w:t>
      </w:r>
      <w:r w:rsidR="00130F86">
        <w:rPr>
          <w:color w:val="000000" w:themeColor="text1"/>
        </w:rPr>
        <w:t xml:space="preserve"> partisinin</w:t>
      </w:r>
      <w:r w:rsidR="00D57C13">
        <w:rPr>
          <w:color w:val="000000" w:themeColor="text1"/>
        </w:rPr>
        <w:t xml:space="preserve"> </w:t>
      </w:r>
      <w:r w:rsidR="00130F86">
        <w:rPr>
          <w:color w:val="000000" w:themeColor="text1"/>
        </w:rPr>
        <w:t>2.929’u</w:t>
      </w:r>
      <w:r w:rsidR="00565CF7" w:rsidRPr="008811F8">
        <w:rPr>
          <w:color w:val="000000" w:themeColor="text1"/>
        </w:rPr>
        <w:t xml:space="preserve"> (</w:t>
      </w:r>
      <w:r w:rsidRPr="008811F8">
        <w:rPr>
          <w:color w:val="000000" w:themeColor="text1"/>
        </w:rPr>
        <w:t>%</w:t>
      </w:r>
      <w:r w:rsidR="00130F86">
        <w:rPr>
          <w:color w:val="000000" w:themeColor="text1"/>
        </w:rPr>
        <w:t>90</w:t>
      </w:r>
      <w:r w:rsidR="00565CF7" w:rsidRPr="008811F8">
        <w:rPr>
          <w:color w:val="000000" w:themeColor="text1"/>
        </w:rPr>
        <w:t xml:space="preserve">) </w:t>
      </w:r>
      <w:r w:rsidRPr="008811F8">
        <w:rPr>
          <w:color w:val="000000" w:themeColor="text1"/>
        </w:rPr>
        <w:t xml:space="preserve">ithal ürünlere yönelik iken, tespit edilen </w:t>
      </w:r>
      <w:r w:rsidR="0089732D">
        <w:rPr>
          <w:color w:val="000000" w:themeColor="text1"/>
        </w:rPr>
        <w:t xml:space="preserve">11 adet güvensizlik ve </w:t>
      </w:r>
      <w:r w:rsidR="00130F86">
        <w:rPr>
          <w:color w:val="000000" w:themeColor="text1"/>
        </w:rPr>
        <w:t>707</w:t>
      </w:r>
      <w:r w:rsidR="00D57C13">
        <w:rPr>
          <w:color w:val="000000" w:themeColor="text1"/>
        </w:rPr>
        <w:t xml:space="preserve"> </w:t>
      </w:r>
      <w:r w:rsidR="0089732D">
        <w:rPr>
          <w:color w:val="000000" w:themeColor="text1"/>
        </w:rPr>
        <w:t>uygunsuzluğun</w:t>
      </w:r>
      <w:r w:rsidR="00D57C13">
        <w:rPr>
          <w:color w:val="000000" w:themeColor="text1"/>
        </w:rPr>
        <w:t xml:space="preserve"> </w:t>
      </w:r>
      <w:r w:rsidR="00130F86">
        <w:rPr>
          <w:color w:val="000000" w:themeColor="text1"/>
        </w:rPr>
        <w:t>tamamı</w:t>
      </w:r>
      <w:r w:rsidR="00D57C13">
        <w:rPr>
          <w:color w:val="000000" w:themeColor="text1"/>
        </w:rPr>
        <w:t xml:space="preserve"> </w:t>
      </w:r>
      <w:r w:rsidRPr="008811F8">
        <w:rPr>
          <w:color w:val="000000" w:themeColor="text1"/>
        </w:rPr>
        <w:t>ithal ürünler</w:t>
      </w:r>
      <w:r w:rsidR="00565CF7" w:rsidRPr="008811F8">
        <w:rPr>
          <w:color w:val="000000" w:themeColor="text1"/>
        </w:rPr>
        <w:t>dir.</w:t>
      </w:r>
      <w:r w:rsidR="00130F86">
        <w:rPr>
          <w:color w:val="000000" w:themeColor="text1"/>
        </w:rPr>
        <w:t xml:space="preserve"> Bu</w:t>
      </w:r>
      <w:r w:rsidR="0089732D">
        <w:rPr>
          <w:color w:val="000000" w:themeColor="text1"/>
        </w:rPr>
        <w:t xml:space="preserve"> kapsamda, Bakanlıkça ithalat denetimlerine ağırlık verilmesi oldukça anlamlı olmuştur.</w:t>
      </w:r>
    </w:p>
    <w:p w:rsidR="009525F6" w:rsidRDefault="009525F6" w:rsidP="009525F6">
      <w:pPr>
        <w:pStyle w:val="ListeParagraf"/>
        <w:rPr>
          <w:color w:val="000000" w:themeColor="text1"/>
        </w:rPr>
      </w:pPr>
    </w:p>
    <w:p w:rsidR="009525F6" w:rsidRDefault="009525F6" w:rsidP="009525F6">
      <w:pPr>
        <w:jc w:val="both"/>
        <w:rPr>
          <w:color w:val="000000" w:themeColor="text1"/>
        </w:rPr>
      </w:pPr>
    </w:p>
    <w:p w:rsidR="009525F6" w:rsidRPr="009525F6" w:rsidRDefault="00CE3F24" w:rsidP="009525F6">
      <w:pPr>
        <w:jc w:val="both"/>
        <w:rPr>
          <w:color w:val="000000" w:themeColor="text1"/>
        </w:rPr>
      </w:pPr>
      <w:r>
        <w:rPr>
          <w:noProof/>
          <w:lang w:eastAsia="tr-TR"/>
        </w:rPr>
        <w:lastRenderedPageBreak/>
        <w:drawing>
          <wp:inline distT="0" distB="0" distL="0" distR="0">
            <wp:extent cx="6142355" cy="7100047"/>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42A35" w:rsidRDefault="00B42A35" w:rsidP="00BE41A3">
      <w:pPr>
        <w:ind w:firstLine="709"/>
        <w:rPr>
          <w:b/>
          <w:color w:val="000000" w:themeColor="text1"/>
        </w:rPr>
      </w:pPr>
    </w:p>
    <w:p w:rsidR="00992450" w:rsidRDefault="00992450" w:rsidP="00BE41A3">
      <w:pPr>
        <w:spacing w:after="240"/>
        <w:ind w:firstLine="709"/>
        <w:jc w:val="both"/>
        <w:rPr>
          <w:bCs/>
          <w:color w:val="000000" w:themeColor="text1"/>
        </w:rPr>
      </w:pPr>
    </w:p>
    <w:p w:rsidR="00992450" w:rsidRDefault="00992450" w:rsidP="00BE41A3">
      <w:pPr>
        <w:spacing w:after="240"/>
        <w:ind w:firstLine="709"/>
        <w:jc w:val="both"/>
        <w:rPr>
          <w:bCs/>
          <w:color w:val="000000" w:themeColor="text1"/>
        </w:rPr>
      </w:pPr>
      <w:r>
        <w:rPr>
          <w:noProof/>
          <w:lang w:eastAsia="tr-TR"/>
        </w:rPr>
        <w:lastRenderedPageBreak/>
        <w:drawing>
          <wp:inline distT="0" distB="0" distL="0" distR="0">
            <wp:extent cx="5935980" cy="6019800"/>
            <wp:effectExtent l="0" t="0" r="0" b="0"/>
            <wp:docPr id="45" name="Grafik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2450" w:rsidRDefault="00992450" w:rsidP="00BE41A3">
      <w:pPr>
        <w:spacing w:after="240"/>
        <w:ind w:firstLine="709"/>
        <w:jc w:val="both"/>
        <w:rPr>
          <w:bCs/>
          <w:color w:val="000000" w:themeColor="text1"/>
        </w:rPr>
      </w:pPr>
    </w:p>
    <w:p w:rsidR="008408F9" w:rsidRPr="00E53F0F" w:rsidRDefault="008408F9" w:rsidP="00A15905">
      <w:pPr>
        <w:spacing w:after="240"/>
        <w:ind w:firstLine="709"/>
        <w:jc w:val="both"/>
        <w:rPr>
          <w:bCs/>
          <w:color w:val="000000" w:themeColor="text1"/>
        </w:rPr>
      </w:pPr>
      <w:r w:rsidRPr="00E53F0F">
        <w:rPr>
          <w:bCs/>
          <w:color w:val="000000" w:themeColor="text1"/>
        </w:rPr>
        <w:t>201</w:t>
      </w:r>
      <w:r w:rsidR="00E209D1" w:rsidRPr="00E53F0F">
        <w:rPr>
          <w:bCs/>
          <w:color w:val="000000" w:themeColor="text1"/>
        </w:rPr>
        <w:t>9</w:t>
      </w:r>
      <w:r w:rsidRPr="00E53F0F">
        <w:rPr>
          <w:bCs/>
          <w:color w:val="000000" w:themeColor="text1"/>
        </w:rPr>
        <w:t xml:space="preserve"> senesinde denetlenen ithal ürünlerde uygunsuzluk oranının en yüksek olduğu</w:t>
      </w:r>
      <w:r w:rsidR="00E315EF" w:rsidRPr="00E53F0F">
        <w:rPr>
          <w:bCs/>
          <w:color w:val="000000" w:themeColor="text1"/>
        </w:rPr>
        <w:t xml:space="preserve"> ilk</w:t>
      </w:r>
      <w:r w:rsidR="00592074" w:rsidRPr="00E53F0F">
        <w:rPr>
          <w:bCs/>
          <w:color w:val="000000" w:themeColor="text1"/>
        </w:rPr>
        <w:t xml:space="preserve"> 5</w:t>
      </w:r>
      <w:r w:rsidRPr="00E53F0F">
        <w:rPr>
          <w:bCs/>
          <w:color w:val="000000" w:themeColor="text1"/>
        </w:rPr>
        <w:t xml:space="preserve"> ürün gru</w:t>
      </w:r>
      <w:r w:rsidR="00E315EF" w:rsidRPr="00E53F0F">
        <w:rPr>
          <w:bCs/>
          <w:color w:val="000000" w:themeColor="text1"/>
        </w:rPr>
        <w:t>bu</w:t>
      </w:r>
      <w:r w:rsidR="00642B5D" w:rsidRPr="00E53F0F">
        <w:rPr>
          <w:bCs/>
          <w:color w:val="000000" w:themeColor="text1"/>
        </w:rPr>
        <w:t xml:space="preserve">; </w:t>
      </w:r>
      <w:r w:rsidR="00E209D1" w:rsidRPr="00E53F0F">
        <w:rPr>
          <w:bCs/>
          <w:color w:val="000000" w:themeColor="text1"/>
        </w:rPr>
        <w:t xml:space="preserve">elektrikli </w:t>
      </w:r>
      <w:proofErr w:type="gramStart"/>
      <w:r w:rsidR="00E209D1" w:rsidRPr="00E53F0F">
        <w:rPr>
          <w:bCs/>
          <w:color w:val="000000" w:themeColor="text1"/>
        </w:rPr>
        <w:t>ekipmanlar</w:t>
      </w:r>
      <w:proofErr w:type="gramEnd"/>
      <w:r w:rsidR="00E209D1" w:rsidRPr="00E53F0F">
        <w:rPr>
          <w:bCs/>
          <w:color w:val="000000" w:themeColor="text1"/>
        </w:rPr>
        <w:t xml:space="preserve">, makineler, telsiz ve telekomünikasyon terminal ekipmanları, kozmetikler ve hazır beton dışındaki yapı </w:t>
      </w:r>
      <w:proofErr w:type="spellStart"/>
      <w:r w:rsidR="00E209D1" w:rsidRPr="00E53F0F">
        <w:rPr>
          <w:bCs/>
          <w:color w:val="000000" w:themeColor="text1"/>
        </w:rPr>
        <w:t>malzemeleri</w:t>
      </w:r>
      <w:r w:rsidRPr="00E53F0F">
        <w:rPr>
          <w:bCs/>
          <w:color w:val="000000" w:themeColor="text1"/>
        </w:rPr>
        <w:t>olmuştur</w:t>
      </w:r>
      <w:proofErr w:type="spellEnd"/>
      <w:r w:rsidRPr="00E53F0F">
        <w:rPr>
          <w:bCs/>
          <w:color w:val="000000" w:themeColor="text1"/>
        </w:rPr>
        <w:t>.</w:t>
      </w:r>
      <w:r w:rsidR="00E209D1" w:rsidRPr="00E53F0F">
        <w:rPr>
          <w:bCs/>
          <w:color w:val="000000" w:themeColor="text1"/>
        </w:rPr>
        <w:t xml:space="preserve"> Bununla birlikte, 2019 senesinde denetlenen ithal ürünlerde güvensizlik oranının en yüksek olduğu ilk 5 ürün grubu; elektrikli </w:t>
      </w:r>
      <w:proofErr w:type="gramStart"/>
      <w:r w:rsidR="00E209D1" w:rsidRPr="00E53F0F">
        <w:rPr>
          <w:bCs/>
          <w:color w:val="000000" w:themeColor="text1"/>
        </w:rPr>
        <w:t>ekipmanlar</w:t>
      </w:r>
      <w:proofErr w:type="gramEnd"/>
      <w:r w:rsidR="00E209D1" w:rsidRPr="00E53F0F">
        <w:rPr>
          <w:bCs/>
          <w:color w:val="000000" w:themeColor="text1"/>
        </w:rPr>
        <w:t>, telsiz ve telekomünikasyon terminal ekipmanları, kozmetikler, enerji ver</w:t>
      </w:r>
      <w:r w:rsidR="00A15905">
        <w:rPr>
          <w:bCs/>
          <w:color w:val="000000" w:themeColor="text1"/>
        </w:rPr>
        <w:t>imliliği ve kırtasiye olmuştur.</w:t>
      </w:r>
    </w:p>
    <w:p w:rsidR="00754212" w:rsidRPr="00E53F0F" w:rsidRDefault="00E209D1" w:rsidP="00A15905">
      <w:pPr>
        <w:spacing w:after="240"/>
        <w:ind w:firstLine="709"/>
        <w:jc w:val="both"/>
        <w:rPr>
          <w:bCs/>
          <w:color w:val="000000" w:themeColor="text1"/>
        </w:rPr>
      </w:pPr>
      <w:r w:rsidRPr="00E53F0F">
        <w:rPr>
          <w:bCs/>
          <w:color w:val="000000" w:themeColor="text1"/>
        </w:rPr>
        <w:t>Kuruluşların denetlediği</w:t>
      </w:r>
      <w:r w:rsidR="00CB4E7D" w:rsidRPr="00E53F0F">
        <w:rPr>
          <w:bCs/>
          <w:color w:val="000000" w:themeColor="text1"/>
        </w:rPr>
        <w:t xml:space="preserve"> ithal ürün gruplarında tespit edilen uygunsuz</w:t>
      </w:r>
      <w:r w:rsidRPr="00E53F0F">
        <w:rPr>
          <w:bCs/>
          <w:color w:val="000000" w:themeColor="text1"/>
        </w:rPr>
        <w:t>luklar</w:t>
      </w:r>
      <w:r w:rsidR="00CB4E7D" w:rsidRPr="00E53F0F">
        <w:rPr>
          <w:bCs/>
          <w:color w:val="000000" w:themeColor="text1"/>
        </w:rPr>
        <w:t xml:space="preserve"> incelendiğinde </w:t>
      </w:r>
      <w:r w:rsidR="009E3BFB" w:rsidRPr="00E53F0F">
        <w:rPr>
          <w:bCs/>
          <w:color w:val="000000" w:themeColor="text1"/>
        </w:rPr>
        <w:t>SB</w:t>
      </w:r>
      <w:r w:rsidR="00AB03F2" w:rsidRPr="00E53F0F">
        <w:rPr>
          <w:bCs/>
          <w:color w:val="000000" w:themeColor="text1"/>
        </w:rPr>
        <w:t xml:space="preserve"> sorumluluğundaki </w:t>
      </w:r>
      <w:r w:rsidR="009E3BFB" w:rsidRPr="00E53F0F">
        <w:rPr>
          <w:bCs/>
          <w:color w:val="000000" w:themeColor="text1"/>
        </w:rPr>
        <w:t>kozmetiklerin</w:t>
      </w:r>
      <w:r w:rsidR="00D57C13">
        <w:rPr>
          <w:bCs/>
          <w:color w:val="000000" w:themeColor="text1"/>
        </w:rPr>
        <w:t xml:space="preserve"> oranı </w:t>
      </w:r>
      <w:r w:rsidR="00AA3654" w:rsidRPr="00E53F0F">
        <w:rPr>
          <w:bCs/>
          <w:color w:val="000000" w:themeColor="text1"/>
        </w:rPr>
        <w:t>%</w:t>
      </w:r>
      <w:r w:rsidR="009E3BFB" w:rsidRPr="00E53F0F">
        <w:rPr>
          <w:bCs/>
          <w:color w:val="000000" w:themeColor="text1"/>
        </w:rPr>
        <w:t>54</w:t>
      </w:r>
      <w:r w:rsidR="00754212" w:rsidRPr="00E53F0F">
        <w:rPr>
          <w:bCs/>
          <w:color w:val="000000" w:themeColor="text1"/>
        </w:rPr>
        <w:t xml:space="preserve"> olarak gerçekleşmiş, bu anlamda en fazla uygunsuzluk oranı kozmetiklerde gerçekleşmiştir. Diğer taraftan, </w:t>
      </w:r>
      <w:r w:rsidR="00007738" w:rsidRPr="00E53F0F">
        <w:rPr>
          <w:bCs/>
          <w:color w:val="000000" w:themeColor="text1"/>
        </w:rPr>
        <w:t>S</w:t>
      </w:r>
      <w:r w:rsidR="00754212" w:rsidRPr="00E53F0F">
        <w:rPr>
          <w:bCs/>
          <w:color w:val="000000" w:themeColor="text1"/>
        </w:rPr>
        <w:t>T</w:t>
      </w:r>
      <w:r w:rsidR="009E3BFB" w:rsidRPr="00E53F0F">
        <w:rPr>
          <w:bCs/>
          <w:color w:val="000000" w:themeColor="text1"/>
        </w:rPr>
        <w:t>B</w:t>
      </w:r>
      <w:r w:rsidR="00007738" w:rsidRPr="00E53F0F">
        <w:rPr>
          <w:bCs/>
          <w:color w:val="000000" w:themeColor="text1"/>
        </w:rPr>
        <w:t xml:space="preserve"> sorumluluğundaki kazanlar ürün </w:t>
      </w:r>
      <w:r w:rsidR="00754212" w:rsidRPr="00E53F0F">
        <w:rPr>
          <w:bCs/>
          <w:color w:val="000000" w:themeColor="text1"/>
        </w:rPr>
        <w:t xml:space="preserve">grubunun oranı %66’dan %13’e </w:t>
      </w:r>
      <w:proofErr w:type="gramStart"/>
      <w:r w:rsidR="00754212" w:rsidRPr="00E53F0F">
        <w:rPr>
          <w:bCs/>
          <w:color w:val="000000" w:themeColor="text1"/>
        </w:rPr>
        <w:t>düşmüş , makinelerde</w:t>
      </w:r>
      <w:proofErr w:type="gramEnd"/>
      <w:r w:rsidR="00754212" w:rsidRPr="00E53F0F">
        <w:rPr>
          <w:bCs/>
          <w:color w:val="000000" w:themeColor="text1"/>
        </w:rPr>
        <w:t xml:space="preserve"> %27’den %17’ye </w:t>
      </w:r>
      <w:proofErr w:type="spellStart"/>
      <w:r w:rsidR="00754212" w:rsidRPr="00E53F0F">
        <w:rPr>
          <w:bCs/>
          <w:color w:val="000000" w:themeColor="text1"/>
        </w:rPr>
        <w:t>düşmüştür.</w:t>
      </w:r>
      <w:r w:rsidR="00765AC5" w:rsidRPr="00E53F0F">
        <w:rPr>
          <w:bCs/>
          <w:color w:val="000000" w:themeColor="text1"/>
        </w:rPr>
        <w:t>Bununla</w:t>
      </w:r>
      <w:proofErr w:type="spellEnd"/>
      <w:r w:rsidR="00765AC5" w:rsidRPr="00E53F0F">
        <w:rPr>
          <w:bCs/>
          <w:color w:val="000000" w:themeColor="text1"/>
        </w:rPr>
        <w:t xml:space="preserve"> birlikte, </w:t>
      </w:r>
      <w:proofErr w:type="spellStart"/>
      <w:r w:rsidR="00754212" w:rsidRPr="00E53F0F">
        <w:rPr>
          <w:bCs/>
          <w:color w:val="000000" w:themeColor="text1"/>
        </w:rPr>
        <w:t>ÇŞB</w:t>
      </w:r>
      <w:r w:rsidR="00765AC5" w:rsidRPr="00E53F0F">
        <w:rPr>
          <w:bCs/>
          <w:color w:val="000000" w:themeColor="text1"/>
        </w:rPr>
        <w:t>’nin</w:t>
      </w:r>
      <w:proofErr w:type="spellEnd"/>
      <w:r w:rsidR="00765AC5" w:rsidRPr="00E53F0F">
        <w:rPr>
          <w:bCs/>
          <w:color w:val="000000" w:themeColor="text1"/>
        </w:rPr>
        <w:t xml:space="preserve"> sorumluluğunda bulunan </w:t>
      </w:r>
      <w:r w:rsidR="00754212" w:rsidRPr="00E53F0F">
        <w:rPr>
          <w:bCs/>
          <w:color w:val="000000" w:themeColor="text1"/>
        </w:rPr>
        <w:t>hazır beton dışındaki yapı malzemelerinde</w:t>
      </w:r>
      <w:r w:rsidR="00765AC5" w:rsidRPr="00E53F0F">
        <w:rPr>
          <w:bCs/>
          <w:color w:val="000000" w:themeColor="text1"/>
        </w:rPr>
        <w:t xml:space="preserve"> bu oranın %</w:t>
      </w:r>
      <w:r w:rsidR="00754212" w:rsidRPr="00E53F0F">
        <w:rPr>
          <w:bCs/>
          <w:color w:val="000000" w:themeColor="text1"/>
        </w:rPr>
        <w:t>55</w:t>
      </w:r>
      <w:r w:rsidR="00765AC5" w:rsidRPr="00E53F0F">
        <w:rPr>
          <w:bCs/>
          <w:color w:val="000000" w:themeColor="text1"/>
        </w:rPr>
        <w:t>ten %</w:t>
      </w:r>
      <w:r w:rsidR="00754212" w:rsidRPr="00E53F0F">
        <w:rPr>
          <w:bCs/>
          <w:color w:val="000000" w:themeColor="text1"/>
        </w:rPr>
        <w:t>50</w:t>
      </w:r>
      <w:r w:rsidR="00765AC5" w:rsidRPr="00E53F0F">
        <w:rPr>
          <w:bCs/>
          <w:color w:val="000000" w:themeColor="text1"/>
        </w:rPr>
        <w:t>’</w:t>
      </w:r>
      <w:r w:rsidR="00754212" w:rsidRPr="00E53F0F">
        <w:rPr>
          <w:bCs/>
          <w:color w:val="000000" w:themeColor="text1"/>
        </w:rPr>
        <w:t>ye gerilediği</w:t>
      </w:r>
      <w:r w:rsidR="00E53F0F" w:rsidRPr="00E53F0F">
        <w:rPr>
          <w:bCs/>
          <w:color w:val="000000" w:themeColor="text1"/>
        </w:rPr>
        <w:t xml:space="preserve"> (Hazır beton ürün grubu ithal olamayacağı için bu değerlendirmeye tabi tutulmamıştır.)</w:t>
      </w:r>
      <w:r w:rsidR="00754212" w:rsidRPr="00E53F0F">
        <w:rPr>
          <w:bCs/>
          <w:color w:val="000000" w:themeColor="text1"/>
        </w:rPr>
        <w:t xml:space="preserve">, TKPGGM sorumluluğundaki kırtasiye ürünlerinin ithal uygunsuzluk oranının </w:t>
      </w:r>
      <w:r w:rsidR="00754212" w:rsidRPr="00E53F0F">
        <w:rPr>
          <w:bCs/>
          <w:color w:val="000000" w:themeColor="text1"/>
        </w:rPr>
        <w:lastRenderedPageBreak/>
        <w:t>%57’den %12’ye gerilediği görülmektedir. Anılan Bakanlıkların sorumluluğundaki söz konusu ürün gruplarında tespit edilen uygunsuzluk oranlarındaki bu azalış, söz konusu ürün gruplarına yönelik denetimler planlanırken riskli ürünleri tespit etmek amacıyla kullanılan yöntemlerin geçtiğimiz yıllara göre daha az başarılı olduğunun bir gösterg</w:t>
      </w:r>
      <w:r w:rsidR="00A15905">
        <w:rPr>
          <w:bCs/>
          <w:color w:val="000000" w:themeColor="text1"/>
        </w:rPr>
        <w:t xml:space="preserve">esi olarak kabul edilmektedir. </w:t>
      </w:r>
    </w:p>
    <w:p w:rsidR="00754212" w:rsidRPr="00E53F0F" w:rsidRDefault="00754212" w:rsidP="00754212">
      <w:pPr>
        <w:spacing w:after="240"/>
        <w:ind w:firstLine="709"/>
        <w:jc w:val="both"/>
        <w:rPr>
          <w:bCs/>
          <w:color w:val="000000" w:themeColor="text1"/>
        </w:rPr>
      </w:pPr>
      <w:r w:rsidRPr="00E53F0F">
        <w:rPr>
          <w:bCs/>
          <w:color w:val="000000" w:themeColor="text1"/>
        </w:rPr>
        <w:t>Kuruluşların denetlediği ithal ürün gruplarında tespit edilen güvensizlikler incelendiğinde</w:t>
      </w:r>
      <w:r w:rsidR="00E53F0F" w:rsidRPr="00E53F0F">
        <w:rPr>
          <w:bCs/>
          <w:color w:val="000000" w:themeColor="text1"/>
        </w:rPr>
        <w:t xml:space="preserve"> TKPGGM tarafından denetlenen oyuncaklarda ithal güvensizlik oranı %9 olarak gerçekleşmiştir. Bununla birlikte kırtasiye ürünlerindeki oran %15’ten %3’e gerilemiştir.</w:t>
      </w:r>
    </w:p>
    <w:p w:rsidR="00DA5840" w:rsidRPr="008B2319" w:rsidRDefault="00DF44A0" w:rsidP="009E3BFB">
      <w:pPr>
        <w:spacing w:after="240"/>
        <w:ind w:firstLine="709"/>
        <w:jc w:val="both"/>
        <w:rPr>
          <w:color w:val="000000" w:themeColor="text1"/>
        </w:rPr>
      </w:pPr>
      <w:r w:rsidRPr="00E53F0F">
        <w:rPr>
          <w:bCs/>
          <w:color w:val="000000" w:themeColor="text1"/>
        </w:rPr>
        <w:t>ÇŞ</w:t>
      </w:r>
      <w:r w:rsidR="00AB03F2" w:rsidRPr="00E53F0F">
        <w:rPr>
          <w:bCs/>
          <w:color w:val="000000" w:themeColor="text1"/>
        </w:rPr>
        <w:t xml:space="preserve">B sorumluluğundaki </w:t>
      </w:r>
      <w:r w:rsidRPr="00E53F0F">
        <w:rPr>
          <w:bCs/>
          <w:color w:val="000000" w:themeColor="text1"/>
        </w:rPr>
        <w:t xml:space="preserve">hazır beton dışı yapı </w:t>
      </w:r>
      <w:r w:rsidRPr="00D57C13">
        <w:rPr>
          <w:bCs/>
          <w:color w:val="000000" w:themeColor="text1"/>
        </w:rPr>
        <w:t>malzemelerin ürün grubunda bu oran %5</w:t>
      </w:r>
      <w:r w:rsidR="00EE0ABF" w:rsidRPr="00D57C13">
        <w:rPr>
          <w:bCs/>
          <w:color w:val="000000" w:themeColor="text1"/>
        </w:rPr>
        <w:t>5’ten %50</w:t>
      </w:r>
      <w:r w:rsidRPr="00D57C13">
        <w:rPr>
          <w:bCs/>
          <w:color w:val="000000" w:themeColor="text1"/>
        </w:rPr>
        <w:t>’</w:t>
      </w:r>
      <w:r w:rsidR="00EE0ABF" w:rsidRPr="00D57C13">
        <w:rPr>
          <w:bCs/>
          <w:color w:val="000000" w:themeColor="text1"/>
        </w:rPr>
        <w:t>y</w:t>
      </w:r>
      <w:r w:rsidRPr="00D57C13">
        <w:rPr>
          <w:bCs/>
          <w:color w:val="000000" w:themeColor="text1"/>
        </w:rPr>
        <w:t>e düşmüş</w:t>
      </w:r>
      <w:r w:rsidR="00A43E66" w:rsidRPr="00D57C13">
        <w:rPr>
          <w:bCs/>
          <w:color w:val="000000" w:themeColor="text1"/>
        </w:rPr>
        <w:t xml:space="preserve"> (Hazır beton ürün grubu ithal olamayacağı için bu değerlendirmeye tabi tutulmamıştır.)</w:t>
      </w:r>
      <w:r w:rsidR="00007738" w:rsidRPr="00D57C13">
        <w:rPr>
          <w:bCs/>
          <w:color w:val="000000" w:themeColor="text1"/>
        </w:rPr>
        <w:t xml:space="preserve">, </w:t>
      </w:r>
      <w:proofErr w:type="spellStart"/>
      <w:r w:rsidR="004C7566" w:rsidRPr="00D57C13">
        <w:rPr>
          <w:bCs/>
          <w:color w:val="000000" w:themeColor="text1"/>
        </w:rPr>
        <w:t>SB’nin</w:t>
      </w:r>
      <w:proofErr w:type="spellEnd"/>
      <w:r w:rsidR="004C7566" w:rsidRPr="00D57C13">
        <w:rPr>
          <w:bCs/>
          <w:color w:val="000000" w:themeColor="text1"/>
        </w:rPr>
        <w:t xml:space="preserve"> sorumluluğundaki kozmetiklerde uygunsuz ve güvensiz ithal ürünlerin denetlenen ithal ürünlere oranı %46’dan %56’ya yükselmiştir.</w:t>
      </w:r>
    </w:p>
    <w:p w:rsidR="00A22591" w:rsidRPr="008B2319" w:rsidRDefault="00A22591" w:rsidP="00BE41A3">
      <w:pPr>
        <w:spacing w:after="240"/>
        <w:ind w:firstLine="709"/>
        <w:jc w:val="both"/>
        <w:rPr>
          <w:bCs/>
          <w:color w:val="000000" w:themeColor="text1"/>
        </w:rPr>
      </w:pPr>
    </w:p>
    <w:p w:rsidR="008408F9" w:rsidRPr="009525F6" w:rsidRDefault="008408F9" w:rsidP="009525F6">
      <w:pPr>
        <w:pStyle w:val="Balk1"/>
        <w:numPr>
          <w:ilvl w:val="0"/>
          <w:numId w:val="28"/>
        </w:numPr>
        <w:rPr>
          <w:color w:val="000000" w:themeColor="text1"/>
        </w:rPr>
      </w:pPr>
      <w:bookmarkStart w:id="15" w:name="_Toc4892868"/>
      <w:r w:rsidRPr="009525F6">
        <w:rPr>
          <w:color w:val="000000" w:themeColor="text1"/>
        </w:rPr>
        <w:t>DENETİM ŞEKLİ (TESTE GÖNDERİLEN ÜRÜN SAYILARI)</w:t>
      </w:r>
      <w:bookmarkEnd w:id="15"/>
    </w:p>
    <w:p w:rsidR="008408F9" w:rsidRPr="008408F9" w:rsidRDefault="008408F9" w:rsidP="00BE41A3">
      <w:pPr>
        <w:ind w:firstLine="709"/>
      </w:pPr>
    </w:p>
    <w:p w:rsidR="00D261BA" w:rsidRPr="00D261BA" w:rsidRDefault="00D261BA" w:rsidP="00BE41A3">
      <w:pPr>
        <w:spacing w:after="240"/>
        <w:ind w:firstLine="709"/>
        <w:jc w:val="both"/>
        <w:rPr>
          <w:color w:val="000000" w:themeColor="text1"/>
        </w:rPr>
      </w:pPr>
      <w:r w:rsidRPr="00D261BA">
        <w:rPr>
          <w:color w:val="000000" w:themeColor="text1"/>
        </w:rPr>
        <w:t>PGD kuruluşları tarafından</w:t>
      </w:r>
      <w:r w:rsidR="00D31718">
        <w:rPr>
          <w:color w:val="000000" w:themeColor="text1"/>
        </w:rPr>
        <w:t xml:space="preserve"> </w:t>
      </w:r>
      <w:r w:rsidR="00863B0C">
        <w:rPr>
          <w:color w:val="000000" w:themeColor="text1"/>
        </w:rPr>
        <w:t xml:space="preserve">gerçekleştirilen denetimlerde </w:t>
      </w:r>
      <w:r>
        <w:rPr>
          <w:color w:val="000000" w:themeColor="text1"/>
        </w:rPr>
        <w:t>ür</w:t>
      </w:r>
      <w:r w:rsidR="00D02A10">
        <w:rPr>
          <w:color w:val="000000" w:themeColor="text1"/>
        </w:rPr>
        <w:t xml:space="preserve">ünlerdeki bazı uygunsuzluk ve </w:t>
      </w:r>
      <w:r>
        <w:rPr>
          <w:color w:val="000000" w:themeColor="text1"/>
        </w:rPr>
        <w:t xml:space="preserve">güvensizliklerin tespiti için </w:t>
      </w:r>
      <w:r w:rsidRPr="008408F9">
        <w:rPr>
          <w:color w:val="000000" w:themeColor="text1"/>
        </w:rPr>
        <w:t>duyusal inceleme ve belge kontrolü</w:t>
      </w:r>
      <w:r w:rsidR="00D31718">
        <w:rPr>
          <w:color w:val="000000" w:themeColor="text1"/>
        </w:rPr>
        <w:t xml:space="preserve"> </w:t>
      </w:r>
      <w:r w:rsidR="00863B0C">
        <w:rPr>
          <w:color w:val="000000" w:themeColor="text1"/>
        </w:rPr>
        <w:t>yeterli olurken</w:t>
      </w:r>
      <w:r>
        <w:rPr>
          <w:color w:val="000000" w:themeColor="text1"/>
        </w:rPr>
        <w:t xml:space="preserve">, bazı risklerin tespiti için </w:t>
      </w:r>
      <w:r w:rsidRPr="00D261BA">
        <w:rPr>
          <w:color w:val="000000" w:themeColor="text1"/>
        </w:rPr>
        <w:t>ileri bir incelemeye ihtiyaç duyul</w:t>
      </w:r>
      <w:r w:rsidR="00863B0C">
        <w:rPr>
          <w:color w:val="000000" w:themeColor="text1"/>
        </w:rPr>
        <w:t>maktadır. Bu anlamda d</w:t>
      </w:r>
      <w:r w:rsidR="00B87DDA">
        <w:rPr>
          <w:color w:val="000000" w:themeColor="text1"/>
        </w:rPr>
        <w:t>enetim şekli;</w:t>
      </w:r>
      <w:r w:rsidRPr="00D261BA">
        <w:rPr>
          <w:color w:val="000000" w:themeColor="text1"/>
        </w:rPr>
        <w:t xml:space="preserve"> PGD kuruluşları tarafından denetimlerde hangi yöntemin ağırlıklı olarak kullanıldığını ortaya koymak, dikkatli kaynak kullanımını gerektiren test/muayene yöntemine ne kadar </w:t>
      </w:r>
      <w:r w:rsidRPr="000A0093">
        <w:rPr>
          <w:color w:val="000000" w:themeColor="text1"/>
        </w:rPr>
        <w:t xml:space="preserve">başvurulduğunu tespit etmek </w:t>
      </w:r>
      <w:r w:rsidR="00863B0C" w:rsidRPr="000A0093">
        <w:rPr>
          <w:color w:val="000000" w:themeColor="text1"/>
        </w:rPr>
        <w:t>ve bu alana ayrılacak kaynağın sağlıklı bir biçimde yönetilebilmesi adına programla</w:t>
      </w:r>
      <w:r w:rsidR="00B87DDA" w:rsidRPr="000A0093">
        <w:rPr>
          <w:color w:val="000000" w:themeColor="text1"/>
        </w:rPr>
        <w:t>ma</w:t>
      </w:r>
      <w:r w:rsidR="00863B0C" w:rsidRPr="000A0093">
        <w:rPr>
          <w:color w:val="000000" w:themeColor="text1"/>
        </w:rPr>
        <w:t xml:space="preserve"> </w:t>
      </w:r>
      <w:proofErr w:type="spellStart"/>
      <w:r w:rsidR="00863B0C" w:rsidRPr="000A0093">
        <w:rPr>
          <w:color w:val="000000" w:themeColor="text1"/>
        </w:rPr>
        <w:t>yapmak</w:t>
      </w:r>
      <w:r w:rsidRPr="00D261BA">
        <w:rPr>
          <w:color w:val="000000" w:themeColor="text1"/>
        </w:rPr>
        <w:t>bakımından</w:t>
      </w:r>
      <w:proofErr w:type="spellEnd"/>
      <w:r w:rsidRPr="00D261BA">
        <w:rPr>
          <w:color w:val="000000" w:themeColor="text1"/>
        </w:rPr>
        <w:t xml:space="preserve"> önemlidir. </w:t>
      </w:r>
    </w:p>
    <w:p w:rsidR="00863B0C" w:rsidRDefault="00D261BA" w:rsidP="00BE41A3">
      <w:pPr>
        <w:spacing w:after="240"/>
        <w:ind w:firstLine="709"/>
        <w:jc w:val="both"/>
        <w:rPr>
          <w:color w:val="000000" w:themeColor="text1"/>
        </w:rPr>
      </w:pPr>
      <w:proofErr w:type="spellStart"/>
      <w:r w:rsidRPr="00D261BA">
        <w:rPr>
          <w:color w:val="000000" w:themeColor="text1"/>
        </w:rPr>
        <w:t>PGD’de</w:t>
      </w:r>
      <w:proofErr w:type="spellEnd"/>
      <w:r w:rsidRPr="00D261BA">
        <w:rPr>
          <w:color w:val="000000" w:themeColor="text1"/>
        </w:rPr>
        <w:t xml:space="preserve"> her ürünün teste tabi tutulmasından ziyade ileri bir incelemeye ihtiyaç duyulan ürünlerin test edilmesi, kısıtlı kamu kaynaklarının verimli kullanımı açısından temel prensip olmakla birlikte, bu husus </w:t>
      </w:r>
      <w:proofErr w:type="spellStart"/>
      <w:r w:rsidRPr="00D261BA">
        <w:rPr>
          <w:color w:val="000000" w:themeColor="text1"/>
        </w:rPr>
        <w:t>laboratuar</w:t>
      </w:r>
      <w:proofErr w:type="spellEnd"/>
      <w:r w:rsidRPr="00D261BA">
        <w:rPr>
          <w:color w:val="000000" w:themeColor="text1"/>
        </w:rPr>
        <w:t xml:space="preserve"> analizlerinin </w:t>
      </w:r>
      <w:proofErr w:type="spellStart"/>
      <w:r w:rsidRPr="00D261BA">
        <w:rPr>
          <w:color w:val="000000" w:themeColor="text1"/>
        </w:rPr>
        <w:t>PGD’de</w:t>
      </w:r>
      <w:proofErr w:type="spellEnd"/>
      <w:r w:rsidRPr="00D261BA">
        <w:rPr>
          <w:color w:val="000000" w:themeColor="text1"/>
        </w:rPr>
        <w:t xml:space="preserve"> en az başvurulacak yöntem olduğu anlamına gelmemektedir. Aksine, teste tabi tutulan ürünlerin sayısındaki artış, PGD kuruluşlarının piyasadaki ürünlerin genel güvenlik seviyesini iyileştirmeye yönelik çabalarının bir göstergesi olarak görülebilir. </w:t>
      </w:r>
      <w:r w:rsidR="00863B0C">
        <w:rPr>
          <w:color w:val="000000" w:themeColor="text1"/>
        </w:rPr>
        <w:t xml:space="preserve">Bu doğrultuda, </w:t>
      </w:r>
      <w:proofErr w:type="spellStart"/>
      <w:r w:rsidR="008408F9" w:rsidRPr="008408F9">
        <w:rPr>
          <w:color w:val="000000" w:themeColor="text1"/>
        </w:rPr>
        <w:t>PGD’nin</w:t>
      </w:r>
      <w:proofErr w:type="spellEnd"/>
      <w:r w:rsidR="008408F9" w:rsidRPr="008408F9">
        <w:rPr>
          <w:color w:val="000000" w:themeColor="text1"/>
        </w:rPr>
        <w:t xml:space="preserve"> ne derece ürünlerdeki tespiti zor risklere odaklandığını değerlendirmek açısından laboratuvara gönderilen ürün parti sayılarını ele almakta fayda bulunmaktadır. </w:t>
      </w:r>
    </w:p>
    <w:p w:rsidR="008408F9" w:rsidRPr="008408F9" w:rsidRDefault="00863B0C" w:rsidP="00BE41A3">
      <w:pPr>
        <w:spacing w:after="240"/>
        <w:ind w:firstLine="709"/>
        <w:jc w:val="both"/>
        <w:rPr>
          <w:color w:val="000000" w:themeColor="text1"/>
        </w:rPr>
      </w:pPr>
      <w:r>
        <w:rPr>
          <w:color w:val="000000" w:themeColor="text1"/>
        </w:rPr>
        <w:t>Öte yandan, bu bölümde rapor genelinde ele alınan veriler açısından farklı bir uygulamaya gidilmektedir. Daha önceki se</w:t>
      </w:r>
      <w:r w:rsidR="00AA3654">
        <w:rPr>
          <w:color w:val="000000" w:themeColor="text1"/>
        </w:rPr>
        <w:t xml:space="preserve">nelerde olduğu gibi, bu </w:t>
      </w:r>
      <w:proofErr w:type="spellStart"/>
      <w:r w:rsidR="00AA3654">
        <w:rPr>
          <w:color w:val="000000" w:themeColor="text1"/>
        </w:rPr>
        <w:t>bölümdeTO</w:t>
      </w:r>
      <w:r>
        <w:rPr>
          <w:color w:val="000000" w:themeColor="text1"/>
        </w:rPr>
        <w:t>B</w:t>
      </w:r>
      <w:proofErr w:type="spellEnd"/>
      <w:r>
        <w:rPr>
          <w:color w:val="000000" w:themeColor="text1"/>
        </w:rPr>
        <w:t xml:space="preserve"> verileri ile diğer PGD kuruluşları verileri ayrı ayrı değerlendirilmektedir. Bu durum genel olarak </w:t>
      </w:r>
      <w:r w:rsidR="00AA3654">
        <w:rPr>
          <w:color w:val="000000" w:themeColor="text1"/>
        </w:rPr>
        <w:t>TO</w:t>
      </w:r>
      <w:r w:rsidR="008408F9" w:rsidRPr="008408F9">
        <w:rPr>
          <w:color w:val="000000" w:themeColor="text1"/>
        </w:rPr>
        <w:t>B tarafından gerçekleştirilen PGD faaliyetleri</w:t>
      </w:r>
      <w:r>
        <w:rPr>
          <w:color w:val="000000" w:themeColor="text1"/>
        </w:rPr>
        <w:t>nin</w:t>
      </w:r>
      <w:r w:rsidR="008408F9" w:rsidRPr="008408F9">
        <w:rPr>
          <w:color w:val="000000" w:themeColor="text1"/>
        </w:rPr>
        <w:t>, yapısal olarak test işlemlerine ağırlık verilmesini gerekli kıl</w:t>
      </w:r>
      <w:r>
        <w:rPr>
          <w:color w:val="000000" w:themeColor="text1"/>
        </w:rPr>
        <w:t xml:space="preserve">masından ve </w:t>
      </w:r>
      <w:r w:rsidR="008408F9" w:rsidRPr="008408F9">
        <w:rPr>
          <w:color w:val="000000" w:themeColor="text1"/>
        </w:rPr>
        <w:t>Bakanlık</w:t>
      </w:r>
      <w:r>
        <w:rPr>
          <w:color w:val="000000" w:themeColor="text1"/>
        </w:rPr>
        <w:t xml:space="preserve">ça </w:t>
      </w:r>
      <w:r w:rsidR="008408F9" w:rsidRPr="008408F9">
        <w:rPr>
          <w:color w:val="000000" w:themeColor="text1"/>
        </w:rPr>
        <w:t xml:space="preserve">test edilen ürün </w:t>
      </w:r>
      <w:proofErr w:type="spellStart"/>
      <w:r w:rsidR="008408F9" w:rsidRPr="008408F9">
        <w:rPr>
          <w:color w:val="000000" w:themeColor="text1"/>
        </w:rPr>
        <w:t>sayısı</w:t>
      </w:r>
      <w:r w:rsidR="00547F64">
        <w:rPr>
          <w:color w:val="000000" w:themeColor="text1"/>
        </w:rPr>
        <w:t>nın</w:t>
      </w:r>
      <w:r>
        <w:rPr>
          <w:color w:val="000000" w:themeColor="text1"/>
        </w:rPr>
        <w:t>diğer</w:t>
      </w:r>
      <w:proofErr w:type="spellEnd"/>
      <w:r>
        <w:rPr>
          <w:color w:val="000000" w:themeColor="text1"/>
        </w:rPr>
        <w:t xml:space="preserve"> kuruluşlar</w:t>
      </w:r>
      <w:r w:rsidR="00547F64">
        <w:rPr>
          <w:color w:val="000000" w:themeColor="text1"/>
        </w:rPr>
        <w:t xml:space="preserve"> tarafından test edilen ürün </w:t>
      </w:r>
      <w:proofErr w:type="spellStart"/>
      <w:r w:rsidR="00547F64">
        <w:rPr>
          <w:color w:val="000000" w:themeColor="text1"/>
        </w:rPr>
        <w:t>sayısına</w:t>
      </w:r>
      <w:r>
        <w:rPr>
          <w:color w:val="000000" w:themeColor="text1"/>
        </w:rPr>
        <w:t>göre</w:t>
      </w:r>
      <w:proofErr w:type="spellEnd"/>
      <w:r>
        <w:rPr>
          <w:color w:val="000000" w:themeColor="text1"/>
        </w:rPr>
        <w:t xml:space="preserve"> oldukça yüksek olmasından kaynaklanmaktadır. Bu nedenle, söz konusu veriler genel tabloyu etkileyebilmekte ve </w:t>
      </w:r>
      <w:r w:rsidRPr="009A0FEC">
        <w:rPr>
          <w:color w:val="000000" w:themeColor="text1"/>
        </w:rPr>
        <w:t xml:space="preserve">diğer PGD kuruluşlarındaki durumun sağlıklı bir biçimde ortaya konulmasına engel olabilmektedir. </w:t>
      </w:r>
      <w:r w:rsidR="009A0FEC" w:rsidRPr="009A0FEC">
        <w:rPr>
          <w:color w:val="000000" w:themeColor="text1"/>
        </w:rPr>
        <w:t xml:space="preserve">Öte </w:t>
      </w:r>
      <w:proofErr w:type="spellStart"/>
      <w:proofErr w:type="gramStart"/>
      <w:r w:rsidR="009A0FEC" w:rsidRPr="009A0FEC">
        <w:rPr>
          <w:color w:val="000000" w:themeColor="text1"/>
        </w:rPr>
        <w:t>yandan,mezkurBakanlık</w:t>
      </w:r>
      <w:proofErr w:type="spellEnd"/>
      <w:proofErr w:type="gramEnd"/>
      <w:r w:rsidR="009A0FEC" w:rsidRPr="009A0FEC">
        <w:rPr>
          <w:color w:val="000000" w:themeColor="text1"/>
        </w:rPr>
        <w:t xml:space="preserve"> 201</w:t>
      </w:r>
      <w:r w:rsidR="00D02A10">
        <w:rPr>
          <w:color w:val="000000" w:themeColor="text1"/>
        </w:rPr>
        <w:t>9</w:t>
      </w:r>
      <w:r w:rsidR="009A0FEC" w:rsidRPr="009A0FEC">
        <w:rPr>
          <w:color w:val="000000" w:themeColor="text1"/>
        </w:rPr>
        <w:t xml:space="preserve"> senesinde teste/muayeneye tabi tutulan ürün parti sayısına ilişkin veri sağlamakla birlikte; yem ve yem hammaddeleri ürün grubunda test edilen ürünlerde güvensiz olduğu tespit edilen ürün sayısına ilişkin veri sağlamamıştır. </w:t>
      </w:r>
      <w:r w:rsidRPr="009A0FEC">
        <w:rPr>
          <w:color w:val="000000" w:themeColor="text1"/>
        </w:rPr>
        <w:t xml:space="preserve">Dolayısıyla </w:t>
      </w:r>
      <w:r w:rsidR="008408F9" w:rsidRPr="009A0FEC">
        <w:rPr>
          <w:color w:val="000000" w:themeColor="text1"/>
        </w:rPr>
        <w:t>bu bölümde yapılan yorumlarda ve grafiklerde (1</w:t>
      </w:r>
      <w:r w:rsidR="00D31718">
        <w:rPr>
          <w:color w:val="000000" w:themeColor="text1"/>
        </w:rPr>
        <w:t>6</w:t>
      </w:r>
      <w:r w:rsidR="008408F9" w:rsidRPr="009A0FEC">
        <w:rPr>
          <w:color w:val="000000" w:themeColor="text1"/>
        </w:rPr>
        <w:t>, 1</w:t>
      </w:r>
      <w:r w:rsidR="00D31718">
        <w:rPr>
          <w:color w:val="000000" w:themeColor="text1"/>
        </w:rPr>
        <w:t>7</w:t>
      </w:r>
      <w:r w:rsidR="008408F9" w:rsidRPr="009A0FEC">
        <w:rPr>
          <w:color w:val="000000" w:themeColor="text1"/>
        </w:rPr>
        <w:t>, 1</w:t>
      </w:r>
      <w:r w:rsidR="00D31718">
        <w:rPr>
          <w:color w:val="000000" w:themeColor="text1"/>
        </w:rPr>
        <w:t>8</w:t>
      </w:r>
      <w:r w:rsidR="008408F9" w:rsidRPr="009A0FEC">
        <w:rPr>
          <w:color w:val="000000" w:themeColor="text1"/>
        </w:rPr>
        <w:t xml:space="preserve"> ve </w:t>
      </w:r>
      <w:r w:rsidR="00D31718">
        <w:rPr>
          <w:color w:val="000000" w:themeColor="text1"/>
        </w:rPr>
        <w:t>19</w:t>
      </w:r>
      <w:r w:rsidR="008408F9" w:rsidRPr="009A0FEC">
        <w:rPr>
          <w:color w:val="000000" w:themeColor="text1"/>
        </w:rPr>
        <w:t xml:space="preserve"> numaralı grafikler)</w:t>
      </w:r>
      <w:r w:rsidR="00D31718">
        <w:rPr>
          <w:color w:val="000000" w:themeColor="text1"/>
        </w:rPr>
        <w:t xml:space="preserve"> </w:t>
      </w:r>
      <w:r w:rsidR="00AA3654" w:rsidRPr="009A0FEC">
        <w:rPr>
          <w:color w:val="000000" w:themeColor="text1"/>
        </w:rPr>
        <w:t>TO</w:t>
      </w:r>
      <w:r w:rsidR="008408F9" w:rsidRPr="009A0FEC">
        <w:rPr>
          <w:color w:val="000000" w:themeColor="text1"/>
        </w:rPr>
        <w:t>B verilerine yer verilmemiş</w:t>
      </w:r>
      <w:r w:rsidR="00BF7C00" w:rsidRPr="009A0FEC">
        <w:rPr>
          <w:color w:val="000000" w:themeColor="text1"/>
        </w:rPr>
        <w:t>tir.</w:t>
      </w:r>
    </w:p>
    <w:p w:rsidR="008408F9" w:rsidRPr="008408F9" w:rsidRDefault="00992450" w:rsidP="00BE41A3">
      <w:pPr>
        <w:spacing w:after="240"/>
        <w:jc w:val="both"/>
        <w:rPr>
          <w:color w:val="000000" w:themeColor="text1"/>
        </w:rPr>
      </w:pPr>
      <w:r>
        <w:rPr>
          <w:noProof/>
          <w:lang w:eastAsia="tr-TR"/>
        </w:rPr>
        <w:lastRenderedPageBreak/>
        <w:drawing>
          <wp:inline distT="0" distB="0" distL="0" distR="0">
            <wp:extent cx="6029960" cy="5497158"/>
            <wp:effectExtent l="0" t="0" r="0" b="0"/>
            <wp:docPr id="46" name="Grafi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25ECB" w:rsidRPr="00B3490E" w:rsidRDefault="00454AA5" w:rsidP="00BE41A3">
      <w:pPr>
        <w:spacing w:after="240"/>
        <w:ind w:firstLine="709"/>
        <w:jc w:val="both"/>
        <w:rPr>
          <w:color w:val="000000" w:themeColor="text1"/>
        </w:rPr>
      </w:pPr>
      <w:r w:rsidRPr="00B3490E">
        <w:rPr>
          <w:color w:val="000000" w:themeColor="text1"/>
        </w:rPr>
        <w:t>TO</w:t>
      </w:r>
      <w:r w:rsidR="00863B0C" w:rsidRPr="00B3490E">
        <w:rPr>
          <w:color w:val="000000" w:themeColor="text1"/>
        </w:rPr>
        <w:t>B dışında</w:t>
      </w:r>
      <w:r w:rsidR="00E25ECB" w:rsidRPr="00B3490E">
        <w:rPr>
          <w:color w:val="000000" w:themeColor="text1"/>
        </w:rPr>
        <w:t xml:space="preserve"> veri sağlayan 7 kuruluşun verilerinin yer aldığı </w:t>
      </w:r>
      <w:r w:rsidR="008408F9" w:rsidRPr="00B3490E">
        <w:rPr>
          <w:color w:val="000000" w:themeColor="text1"/>
        </w:rPr>
        <w:t>Grafik-1</w:t>
      </w:r>
      <w:r w:rsidR="00D31718">
        <w:rPr>
          <w:color w:val="000000" w:themeColor="text1"/>
        </w:rPr>
        <w:t>6</w:t>
      </w:r>
      <w:r w:rsidR="008408F9" w:rsidRPr="00B3490E">
        <w:rPr>
          <w:color w:val="000000" w:themeColor="text1"/>
        </w:rPr>
        <w:t xml:space="preserve"> incelendiğinde, 201</w:t>
      </w:r>
      <w:r w:rsidR="00D02A10" w:rsidRPr="00B3490E">
        <w:rPr>
          <w:color w:val="000000" w:themeColor="text1"/>
        </w:rPr>
        <w:t>9</w:t>
      </w:r>
      <w:r w:rsidR="008408F9" w:rsidRPr="00B3490E">
        <w:rPr>
          <w:color w:val="000000" w:themeColor="text1"/>
        </w:rPr>
        <w:t xml:space="preserve"> yılında </w:t>
      </w:r>
      <w:r w:rsidR="00E25ECB" w:rsidRPr="00B3490E">
        <w:rPr>
          <w:color w:val="000000" w:themeColor="text1"/>
        </w:rPr>
        <w:t>söz konusu kuruluşlar tarafından den</w:t>
      </w:r>
      <w:r w:rsidRPr="00B3490E">
        <w:rPr>
          <w:color w:val="000000" w:themeColor="text1"/>
        </w:rPr>
        <w:t>etlenen ürün parti sayısının %</w:t>
      </w:r>
      <w:r w:rsidR="004E4CFF" w:rsidRPr="00B3490E">
        <w:rPr>
          <w:color w:val="000000" w:themeColor="text1"/>
        </w:rPr>
        <w:t>11</w:t>
      </w:r>
      <w:r w:rsidR="00E25ECB" w:rsidRPr="00B3490E">
        <w:rPr>
          <w:color w:val="000000" w:themeColor="text1"/>
        </w:rPr>
        <w:t xml:space="preserve"> oranında </w:t>
      </w:r>
      <w:r w:rsidR="004E4CFF" w:rsidRPr="00B3490E">
        <w:rPr>
          <w:color w:val="000000" w:themeColor="text1"/>
        </w:rPr>
        <w:t xml:space="preserve">arttığı ve bununla bağlantılı olarak </w:t>
      </w:r>
      <w:r w:rsidR="008408F9" w:rsidRPr="00B3490E">
        <w:rPr>
          <w:color w:val="000000" w:themeColor="text1"/>
        </w:rPr>
        <w:t>test edilen ürün partisi sayısın</w:t>
      </w:r>
      <w:r w:rsidR="00E25ECB" w:rsidRPr="00B3490E">
        <w:rPr>
          <w:color w:val="000000" w:themeColor="text1"/>
        </w:rPr>
        <w:t>ın</w:t>
      </w:r>
      <w:r w:rsidR="004E4CFF" w:rsidRPr="00B3490E">
        <w:rPr>
          <w:color w:val="000000" w:themeColor="text1"/>
        </w:rPr>
        <w:t xml:space="preserve"> </w:t>
      </w:r>
      <w:proofErr w:type="spellStart"/>
      <w:r w:rsidR="004E4CFF" w:rsidRPr="00B3490E">
        <w:rPr>
          <w:color w:val="000000" w:themeColor="text1"/>
        </w:rPr>
        <w:t>da</w:t>
      </w:r>
      <w:r w:rsidR="00D02A10" w:rsidRPr="00B3490E">
        <w:rPr>
          <w:color w:val="000000" w:themeColor="text1"/>
        </w:rPr>
        <w:t>arttığı</w:t>
      </w:r>
      <w:proofErr w:type="spellEnd"/>
      <w:r w:rsidR="00E25ECB" w:rsidRPr="00B3490E">
        <w:rPr>
          <w:color w:val="000000" w:themeColor="text1"/>
        </w:rPr>
        <w:t xml:space="preserve"> görülmektedir. </w:t>
      </w:r>
    </w:p>
    <w:p w:rsidR="002A6CD1" w:rsidRPr="00B3490E" w:rsidRDefault="00E25ECB" w:rsidP="00BE41A3">
      <w:pPr>
        <w:spacing w:after="240"/>
        <w:ind w:firstLine="709"/>
        <w:jc w:val="both"/>
        <w:rPr>
          <w:color w:val="000000" w:themeColor="text1"/>
        </w:rPr>
      </w:pPr>
      <w:r w:rsidRPr="00B3490E">
        <w:rPr>
          <w:color w:val="000000" w:themeColor="text1"/>
        </w:rPr>
        <w:t>Bununla birlikte</w:t>
      </w:r>
      <w:r w:rsidR="007B5897" w:rsidRPr="00B3490E">
        <w:rPr>
          <w:color w:val="000000" w:themeColor="text1"/>
        </w:rPr>
        <w:t>,</w:t>
      </w:r>
      <w:r w:rsidR="00D31718">
        <w:rPr>
          <w:color w:val="000000" w:themeColor="text1"/>
        </w:rPr>
        <w:t xml:space="preserve"> </w:t>
      </w:r>
      <w:r w:rsidR="00853BA0" w:rsidRPr="00B3490E">
        <w:rPr>
          <w:color w:val="000000" w:themeColor="text1"/>
        </w:rPr>
        <w:t>b</w:t>
      </w:r>
      <w:r w:rsidR="002A6CD1" w:rsidRPr="00B3490E">
        <w:rPr>
          <w:color w:val="000000" w:themeColor="text1"/>
        </w:rPr>
        <w:t>ahsi geçen 7 kuruluş için test edilen ürünler içerisindeki güvensizlik oranı</w:t>
      </w:r>
      <w:r w:rsidR="00D31718">
        <w:rPr>
          <w:color w:val="000000" w:themeColor="text1"/>
        </w:rPr>
        <w:t xml:space="preserve"> </w:t>
      </w:r>
      <w:r w:rsidR="002A6CD1" w:rsidRPr="00B3490E">
        <w:rPr>
          <w:color w:val="000000" w:themeColor="text1"/>
        </w:rPr>
        <w:t>201</w:t>
      </w:r>
      <w:r w:rsidR="004E4CFF" w:rsidRPr="00B3490E">
        <w:rPr>
          <w:color w:val="000000" w:themeColor="text1"/>
        </w:rPr>
        <w:t>8</w:t>
      </w:r>
      <w:r w:rsidR="002A6CD1" w:rsidRPr="00B3490E">
        <w:rPr>
          <w:color w:val="000000" w:themeColor="text1"/>
        </w:rPr>
        <w:t>’</w:t>
      </w:r>
      <w:r w:rsidR="00A5503B" w:rsidRPr="00B3490E">
        <w:rPr>
          <w:color w:val="000000" w:themeColor="text1"/>
        </w:rPr>
        <w:t>de</w:t>
      </w:r>
      <w:r w:rsidR="004E4CFF" w:rsidRPr="00B3490E">
        <w:rPr>
          <w:color w:val="000000" w:themeColor="text1"/>
        </w:rPr>
        <w:t xml:space="preserve"> %10</w:t>
      </w:r>
      <w:r w:rsidR="002A6CD1" w:rsidRPr="00B3490E">
        <w:rPr>
          <w:color w:val="000000" w:themeColor="text1"/>
        </w:rPr>
        <w:t xml:space="preserve"> iken 201</w:t>
      </w:r>
      <w:r w:rsidR="004E4CFF" w:rsidRPr="00B3490E">
        <w:rPr>
          <w:color w:val="000000" w:themeColor="text1"/>
        </w:rPr>
        <w:t>9</w:t>
      </w:r>
      <w:r w:rsidR="002A6CD1" w:rsidRPr="00B3490E">
        <w:rPr>
          <w:color w:val="000000" w:themeColor="text1"/>
        </w:rPr>
        <w:t>’d</w:t>
      </w:r>
      <w:r w:rsidR="004E4CFF" w:rsidRPr="00B3490E">
        <w:rPr>
          <w:color w:val="000000" w:themeColor="text1"/>
        </w:rPr>
        <w:t>a bu oran</w:t>
      </w:r>
      <w:r w:rsidR="002A6CD1" w:rsidRPr="00B3490E">
        <w:rPr>
          <w:color w:val="000000" w:themeColor="text1"/>
        </w:rPr>
        <w:t xml:space="preserve"> % </w:t>
      </w:r>
      <w:r w:rsidR="004E4CFF" w:rsidRPr="00B3490E">
        <w:rPr>
          <w:color w:val="000000" w:themeColor="text1"/>
        </w:rPr>
        <w:t>6</w:t>
      </w:r>
      <w:r w:rsidR="00A5503B" w:rsidRPr="00B3490E">
        <w:rPr>
          <w:color w:val="000000" w:themeColor="text1"/>
        </w:rPr>
        <w:t>’</w:t>
      </w:r>
      <w:r w:rsidR="004E4CFF" w:rsidRPr="00B3490E">
        <w:rPr>
          <w:color w:val="000000" w:themeColor="text1"/>
        </w:rPr>
        <w:t>ya gerilemiştir</w:t>
      </w:r>
      <w:r w:rsidR="00A5503B" w:rsidRPr="00B3490E">
        <w:rPr>
          <w:color w:val="000000" w:themeColor="text1"/>
        </w:rPr>
        <w:t>.</w:t>
      </w:r>
    </w:p>
    <w:p w:rsidR="009525F6" w:rsidRDefault="003854BF" w:rsidP="00BE41A3">
      <w:pPr>
        <w:spacing w:after="240"/>
        <w:ind w:firstLine="709"/>
        <w:jc w:val="both"/>
        <w:rPr>
          <w:bCs/>
        </w:rPr>
      </w:pPr>
      <w:r w:rsidRPr="00B3490E">
        <w:rPr>
          <w:color w:val="000000" w:themeColor="text1"/>
        </w:rPr>
        <w:t>Yaklaşık ola</w:t>
      </w:r>
      <w:r w:rsidR="004E4CFF" w:rsidRPr="00B3490E">
        <w:rPr>
          <w:color w:val="000000" w:themeColor="text1"/>
        </w:rPr>
        <w:t>rak, daha az m</w:t>
      </w:r>
      <w:r w:rsidR="002A6CD1" w:rsidRPr="00B3490E">
        <w:rPr>
          <w:color w:val="000000" w:themeColor="text1"/>
        </w:rPr>
        <w:t>iktarda güvensiz ürün tespiti için 201</w:t>
      </w:r>
      <w:r w:rsidR="004E4CFF" w:rsidRPr="00B3490E">
        <w:rPr>
          <w:color w:val="000000" w:themeColor="text1"/>
        </w:rPr>
        <w:t>9</w:t>
      </w:r>
      <w:r w:rsidR="002A6CD1" w:rsidRPr="00B3490E">
        <w:rPr>
          <w:color w:val="000000" w:themeColor="text1"/>
        </w:rPr>
        <w:t xml:space="preserve"> senesinde bir önceki seneye kıyasla daha</w:t>
      </w:r>
      <w:r w:rsidR="002A6CD1">
        <w:rPr>
          <w:color w:val="000000" w:themeColor="text1"/>
        </w:rPr>
        <w:t xml:space="preserve"> çok kamu kaynağı test ve muayene işlemlerine ayrılmıştır.  Bu sonuçlar </w:t>
      </w:r>
      <w:r w:rsidR="002A6CD1" w:rsidRPr="00123FC5">
        <w:rPr>
          <w:bCs/>
        </w:rPr>
        <w:t>test/muayene işlemlerine ayrılan kaynağın etkin kullanılamadığı</w:t>
      </w:r>
      <w:r w:rsidR="002A6CD1">
        <w:rPr>
          <w:bCs/>
        </w:rPr>
        <w:t xml:space="preserve"> ve </w:t>
      </w:r>
      <w:r w:rsidR="002A6CD1" w:rsidRPr="00123FC5">
        <w:rPr>
          <w:bCs/>
        </w:rPr>
        <w:t xml:space="preserve">hangi ürünlerin test/muayene işlemi gerektirdiği hususunda doğru değerlendirme yapma oranının düşük olduğu </w:t>
      </w:r>
      <w:r w:rsidR="002A6CD1">
        <w:rPr>
          <w:bCs/>
        </w:rPr>
        <w:t xml:space="preserve">şeklinde </w:t>
      </w:r>
      <w:r w:rsidR="002A6CD1" w:rsidRPr="000A0093">
        <w:rPr>
          <w:bCs/>
        </w:rPr>
        <w:t xml:space="preserve">yorumlanabilecektir. İlgili PGD kuruluşlarına, denetmenlerin sorumlulukları altındaki ürünler ve bu ürünlerin arz edebileceği riskler hususunda daha fazla bilgi sahibi olmalarının sağlanması </w:t>
      </w:r>
      <w:r w:rsidR="00A36BA1" w:rsidRPr="000A0093">
        <w:rPr>
          <w:bCs/>
        </w:rPr>
        <w:t xml:space="preserve">konusunda önemli </w:t>
      </w:r>
      <w:r w:rsidR="002A6CD1" w:rsidRPr="000A0093">
        <w:rPr>
          <w:bCs/>
        </w:rPr>
        <w:t>görevler düşmektedir</w:t>
      </w:r>
      <w:r w:rsidR="002A6CD1">
        <w:rPr>
          <w:bCs/>
        </w:rPr>
        <w:t xml:space="preserve">. </w:t>
      </w:r>
    </w:p>
    <w:p w:rsidR="006D3C51" w:rsidRDefault="00385A81" w:rsidP="009525F6">
      <w:pPr>
        <w:spacing w:after="240"/>
        <w:jc w:val="both"/>
        <w:rPr>
          <w:bCs/>
          <w:color w:val="000000" w:themeColor="text1"/>
        </w:rPr>
      </w:pPr>
      <w:r>
        <w:rPr>
          <w:noProof/>
          <w:lang w:eastAsia="tr-TR"/>
        </w:rPr>
        <w:lastRenderedPageBreak/>
        <w:drawing>
          <wp:inline distT="0" distB="0" distL="0" distR="0">
            <wp:extent cx="6325497" cy="3969572"/>
            <wp:effectExtent l="0" t="0" r="0" b="0"/>
            <wp:docPr id="3073" name="Grafik 30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D3C51" w:rsidRDefault="00385A81" w:rsidP="006D3C51">
      <w:pPr>
        <w:spacing w:after="240"/>
        <w:jc w:val="both"/>
        <w:rPr>
          <w:noProof/>
          <w:lang w:eastAsia="tr-TR"/>
        </w:rPr>
      </w:pPr>
      <w:r>
        <w:rPr>
          <w:noProof/>
          <w:lang w:eastAsia="tr-TR"/>
        </w:rPr>
        <w:drawing>
          <wp:inline distT="0" distB="0" distL="0" distR="0">
            <wp:extent cx="6217920" cy="4733365"/>
            <wp:effectExtent l="38100" t="57150" r="30480" b="29210"/>
            <wp:docPr id="3074" name="Grafik 30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408F9" w:rsidRDefault="00385A81" w:rsidP="006D3C51">
      <w:pPr>
        <w:spacing w:after="240"/>
        <w:jc w:val="both"/>
        <w:rPr>
          <w:noProof/>
          <w:lang w:eastAsia="tr-TR"/>
        </w:rPr>
      </w:pPr>
      <w:r>
        <w:rPr>
          <w:noProof/>
          <w:lang w:eastAsia="tr-TR"/>
        </w:rPr>
        <w:lastRenderedPageBreak/>
        <w:drawing>
          <wp:inline distT="0" distB="0" distL="0" distR="0">
            <wp:extent cx="6292850" cy="4765638"/>
            <wp:effectExtent l="0" t="0" r="0" b="0"/>
            <wp:docPr id="3075" name="Grafik 30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D3C51" w:rsidRDefault="006D3C51" w:rsidP="006D3C51">
      <w:pPr>
        <w:spacing w:after="240"/>
        <w:jc w:val="both"/>
        <w:rPr>
          <w:noProof/>
          <w:lang w:eastAsia="tr-TR"/>
        </w:rPr>
      </w:pPr>
    </w:p>
    <w:p w:rsidR="006D3C51" w:rsidRDefault="00992450" w:rsidP="006D3C51">
      <w:pPr>
        <w:spacing w:after="240"/>
        <w:jc w:val="both"/>
        <w:rPr>
          <w:color w:val="000000" w:themeColor="text1"/>
        </w:rPr>
      </w:pPr>
      <w:r>
        <w:rPr>
          <w:noProof/>
          <w:lang w:eastAsia="tr-TR"/>
        </w:rPr>
        <w:drawing>
          <wp:inline distT="0" distB="0" distL="0" distR="0">
            <wp:extent cx="6325497" cy="3657600"/>
            <wp:effectExtent l="0" t="0" r="0" b="0"/>
            <wp:docPr id="50" name="Grafik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D3C51" w:rsidRDefault="006D3C51" w:rsidP="006D3C51">
      <w:pPr>
        <w:spacing w:after="240"/>
        <w:jc w:val="both"/>
        <w:rPr>
          <w:color w:val="000000" w:themeColor="text1"/>
        </w:rPr>
      </w:pPr>
    </w:p>
    <w:p w:rsidR="00672DC1" w:rsidRDefault="002A6CD1" w:rsidP="006D3C51">
      <w:pPr>
        <w:spacing w:after="240"/>
        <w:jc w:val="both"/>
        <w:rPr>
          <w:color w:val="000000" w:themeColor="text1"/>
        </w:rPr>
      </w:pPr>
      <w:r>
        <w:rPr>
          <w:color w:val="000000" w:themeColor="text1"/>
        </w:rPr>
        <w:t>Söz konusu veriler</w:t>
      </w:r>
      <w:r w:rsidR="00E80B5D">
        <w:rPr>
          <w:color w:val="000000" w:themeColor="text1"/>
        </w:rPr>
        <w:t>,</w:t>
      </w:r>
      <w:r>
        <w:rPr>
          <w:color w:val="000000" w:themeColor="text1"/>
        </w:rPr>
        <w:t xml:space="preserve"> kuru</w:t>
      </w:r>
      <w:r w:rsidR="00672DC1">
        <w:rPr>
          <w:color w:val="000000" w:themeColor="text1"/>
        </w:rPr>
        <w:t>luşlar özelinde ele alındığında aşağıdaki değerlendirmeler yapılabilmektedir</w:t>
      </w:r>
      <w:r w:rsidR="007B5897">
        <w:rPr>
          <w:color w:val="000000" w:themeColor="text1"/>
        </w:rPr>
        <w:t>:</w:t>
      </w:r>
    </w:p>
    <w:p w:rsidR="002A6CD1" w:rsidRPr="008811F8" w:rsidRDefault="00672DC1" w:rsidP="00BE41A3">
      <w:pPr>
        <w:pStyle w:val="ListeParagraf"/>
        <w:numPr>
          <w:ilvl w:val="0"/>
          <w:numId w:val="18"/>
        </w:numPr>
        <w:spacing w:after="240"/>
        <w:ind w:left="0" w:firstLine="0"/>
        <w:jc w:val="both"/>
        <w:rPr>
          <w:bCs/>
          <w:color w:val="000000" w:themeColor="text1"/>
        </w:rPr>
      </w:pPr>
      <w:r w:rsidRPr="008811F8">
        <w:rPr>
          <w:color w:val="000000" w:themeColor="text1"/>
        </w:rPr>
        <w:t>T</w:t>
      </w:r>
      <w:r w:rsidR="002A6CD1" w:rsidRPr="008811F8">
        <w:rPr>
          <w:color w:val="000000" w:themeColor="text1"/>
        </w:rPr>
        <w:t xml:space="preserve">este tabi tutulan ürün parti sayısındaki artışın genel olarak </w:t>
      </w:r>
      <w:r w:rsidR="00155703">
        <w:rPr>
          <w:color w:val="000000" w:themeColor="text1"/>
        </w:rPr>
        <w:t xml:space="preserve">BTK </w:t>
      </w:r>
      <w:r w:rsidR="002A6CD1" w:rsidRPr="008811F8">
        <w:rPr>
          <w:color w:val="000000" w:themeColor="text1"/>
        </w:rPr>
        <w:t xml:space="preserve">tarafından teste tabi tutulan ürün parti sayısındaki artıştan kaynaklandığı görülmektedir. </w:t>
      </w:r>
      <w:r w:rsidR="00155703">
        <w:rPr>
          <w:bCs/>
          <w:color w:val="000000" w:themeColor="text1"/>
        </w:rPr>
        <w:t xml:space="preserve">BTK </w:t>
      </w:r>
      <w:r w:rsidR="006A67FF" w:rsidRPr="008811F8">
        <w:rPr>
          <w:bCs/>
          <w:color w:val="000000" w:themeColor="text1"/>
        </w:rPr>
        <w:t>tarafından teste tabi tutulan ürün parti sayısı %</w:t>
      </w:r>
      <w:r w:rsidR="00155703">
        <w:rPr>
          <w:bCs/>
          <w:color w:val="000000" w:themeColor="text1"/>
        </w:rPr>
        <w:t>39</w:t>
      </w:r>
      <w:r w:rsidR="006A67FF" w:rsidRPr="008811F8">
        <w:rPr>
          <w:bCs/>
          <w:color w:val="000000" w:themeColor="text1"/>
        </w:rPr>
        <w:t xml:space="preserve"> artış göstererek </w:t>
      </w:r>
      <w:r w:rsidR="00155703">
        <w:rPr>
          <w:bCs/>
          <w:color w:val="000000" w:themeColor="text1"/>
        </w:rPr>
        <w:t>1.412’den 1.965’e yükselmiş</w:t>
      </w:r>
      <w:r w:rsidR="006A67FF" w:rsidRPr="008811F8">
        <w:rPr>
          <w:bCs/>
          <w:color w:val="000000" w:themeColor="text1"/>
        </w:rPr>
        <w:t>;</w:t>
      </w:r>
      <w:r w:rsidR="00D31718">
        <w:rPr>
          <w:bCs/>
          <w:color w:val="000000" w:themeColor="text1"/>
        </w:rPr>
        <w:t xml:space="preserve"> </w:t>
      </w:r>
      <w:r w:rsidR="00155703">
        <w:rPr>
          <w:color w:val="000000" w:themeColor="text1"/>
        </w:rPr>
        <w:t>BTK</w:t>
      </w:r>
      <w:r w:rsidR="006A67FF" w:rsidRPr="008811F8">
        <w:rPr>
          <w:color w:val="000000" w:themeColor="text1"/>
        </w:rPr>
        <w:t xml:space="preserve"> tarafından teste tabi tutulan ürün partileri içerisinde güvensiz bulunanların oranı ise %</w:t>
      </w:r>
      <w:r w:rsidR="009F38B3">
        <w:rPr>
          <w:color w:val="000000" w:themeColor="text1"/>
        </w:rPr>
        <w:t xml:space="preserve">0,56 olarak gerçekleşmiştir. </w:t>
      </w:r>
    </w:p>
    <w:p w:rsidR="006A67FF" w:rsidRPr="008B2319" w:rsidRDefault="006A67FF" w:rsidP="00BE41A3">
      <w:pPr>
        <w:pStyle w:val="ListeParagraf"/>
        <w:numPr>
          <w:ilvl w:val="0"/>
          <w:numId w:val="18"/>
        </w:numPr>
        <w:spacing w:after="240"/>
        <w:ind w:left="0" w:firstLine="0"/>
        <w:jc w:val="both"/>
        <w:rPr>
          <w:bCs/>
          <w:color w:val="000000" w:themeColor="text1"/>
        </w:rPr>
      </w:pPr>
      <w:r>
        <w:rPr>
          <w:bCs/>
          <w:color w:val="000000" w:themeColor="text1"/>
        </w:rPr>
        <w:t xml:space="preserve">ÇŞB </w:t>
      </w:r>
      <w:r w:rsidRPr="008B2319">
        <w:rPr>
          <w:bCs/>
          <w:color w:val="000000" w:themeColor="text1"/>
        </w:rPr>
        <w:t xml:space="preserve">tarafından </w:t>
      </w:r>
      <w:r w:rsidRPr="008B2319">
        <w:rPr>
          <w:color w:val="000000" w:themeColor="text1"/>
        </w:rPr>
        <w:t>teste tabi tutulan ürün parti sayısı</w:t>
      </w:r>
      <w:r w:rsidR="002D1CFC" w:rsidRPr="008B2319">
        <w:rPr>
          <w:color w:val="000000" w:themeColor="text1"/>
        </w:rPr>
        <w:t xml:space="preserve"> 201</w:t>
      </w:r>
      <w:r w:rsidR="009F38B3">
        <w:rPr>
          <w:color w:val="000000" w:themeColor="text1"/>
        </w:rPr>
        <w:t>8</w:t>
      </w:r>
      <w:r w:rsidR="002D1CFC" w:rsidRPr="008B2319">
        <w:rPr>
          <w:color w:val="000000" w:themeColor="text1"/>
        </w:rPr>
        <w:t xml:space="preserve"> yılın</w:t>
      </w:r>
      <w:r w:rsidR="009F38B3">
        <w:rPr>
          <w:color w:val="000000" w:themeColor="text1"/>
        </w:rPr>
        <w:t>da 5.267 iken 2019 yılında 5.266 olarak gerçekleşmiştir.</w:t>
      </w:r>
      <w:r w:rsidRPr="008B2319">
        <w:rPr>
          <w:color w:val="000000" w:themeColor="text1"/>
        </w:rPr>
        <w:t xml:space="preserve"> Buna rağmen 201</w:t>
      </w:r>
      <w:r w:rsidR="009F38B3">
        <w:rPr>
          <w:color w:val="000000" w:themeColor="text1"/>
        </w:rPr>
        <w:t>8</w:t>
      </w:r>
      <w:r w:rsidRPr="008B2319">
        <w:rPr>
          <w:color w:val="000000" w:themeColor="text1"/>
        </w:rPr>
        <w:t xml:space="preserve"> yılında teste tabi tutulan ürün partileri içerisinde güvensiz bulunanlar</w:t>
      </w:r>
      <w:r w:rsidR="009F38B3">
        <w:rPr>
          <w:color w:val="000000" w:themeColor="text1"/>
        </w:rPr>
        <w:t xml:space="preserve"> 455 iken 2019 yılında bu sayı 296 olmuş, böylece 2018 yılında test edilen ürünlerdeki güvensizlik oranı</w:t>
      </w:r>
      <w:r w:rsidRPr="008B2319">
        <w:rPr>
          <w:color w:val="000000" w:themeColor="text1"/>
        </w:rPr>
        <w:t xml:space="preserve"> %9’</w:t>
      </w:r>
      <w:r w:rsidR="009F38B3">
        <w:rPr>
          <w:color w:val="000000" w:themeColor="text1"/>
        </w:rPr>
        <w:t>d</w:t>
      </w:r>
      <w:r w:rsidRPr="008B2319">
        <w:rPr>
          <w:color w:val="000000" w:themeColor="text1"/>
        </w:rPr>
        <w:t>a</w:t>
      </w:r>
      <w:r w:rsidR="009F38B3">
        <w:rPr>
          <w:color w:val="000000" w:themeColor="text1"/>
        </w:rPr>
        <w:t>n</w:t>
      </w:r>
      <w:r w:rsidR="00963C63">
        <w:rPr>
          <w:color w:val="000000" w:themeColor="text1"/>
        </w:rPr>
        <w:t xml:space="preserve"> %6’ya </w:t>
      </w:r>
      <w:proofErr w:type="spellStart"/>
      <w:proofErr w:type="gramStart"/>
      <w:r w:rsidR="00963C63">
        <w:rPr>
          <w:color w:val="000000" w:themeColor="text1"/>
        </w:rPr>
        <w:t>gerilemiştir.</w:t>
      </w:r>
      <w:r w:rsidR="00A43E66" w:rsidRPr="008B2319">
        <w:rPr>
          <w:color w:val="000000" w:themeColor="text1"/>
        </w:rPr>
        <w:t>Hazır</w:t>
      </w:r>
      <w:proofErr w:type="spellEnd"/>
      <w:proofErr w:type="gramEnd"/>
      <w:r w:rsidR="00A43E66" w:rsidRPr="008B2319">
        <w:rPr>
          <w:color w:val="000000" w:themeColor="text1"/>
        </w:rPr>
        <w:t xml:space="preserve"> beton ürünü yapı malzemeleri içerisinde en riskli ürün olduğundan her yıl düzenli olarak denetlenmekte ve en çok numune hazır beton ürününden </w:t>
      </w:r>
      <w:proofErr w:type="spellStart"/>
      <w:r w:rsidR="00A43E66" w:rsidRPr="008B2319">
        <w:rPr>
          <w:color w:val="000000" w:themeColor="text1"/>
        </w:rPr>
        <w:t>alınmaktadır.Teste</w:t>
      </w:r>
      <w:proofErr w:type="spellEnd"/>
      <w:r w:rsidR="00A43E66" w:rsidRPr="008B2319">
        <w:rPr>
          <w:color w:val="000000" w:themeColor="text1"/>
        </w:rPr>
        <w:t xml:space="preserve"> gönderilen ürünlerin sayısının fazla görünmesi bundan </w:t>
      </w:r>
      <w:proofErr w:type="spellStart"/>
      <w:r w:rsidR="00A43E66" w:rsidRPr="008B2319">
        <w:rPr>
          <w:color w:val="000000" w:themeColor="text1"/>
        </w:rPr>
        <w:t>kaynaklanmaktadır.Bakanlıkça</w:t>
      </w:r>
      <w:proofErr w:type="spellEnd"/>
      <w:r w:rsidR="00A43E66" w:rsidRPr="008B2319">
        <w:rPr>
          <w:color w:val="000000" w:themeColor="text1"/>
        </w:rPr>
        <w:t xml:space="preserve"> ilgili mevzuat doğrultusunda yapılan sıkı denetimler güvensizlik oranının düşük kalmasını sağlamaktadır.</w:t>
      </w:r>
    </w:p>
    <w:p w:rsidR="001D2C50" w:rsidRPr="00EF6785" w:rsidRDefault="00672DC1" w:rsidP="00BE41A3">
      <w:pPr>
        <w:pStyle w:val="ListeParagraf"/>
        <w:numPr>
          <w:ilvl w:val="0"/>
          <w:numId w:val="18"/>
        </w:numPr>
        <w:spacing w:after="240"/>
        <w:ind w:left="0" w:firstLine="0"/>
        <w:jc w:val="both"/>
        <w:rPr>
          <w:bCs/>
          <w:color w:val="000000" w:themeColor="text1"/>
        </w:rPr>
      </w:pPr>
      <w:r w:rsidRPr="008B2319">
        <w:rPr>
          <w:bCs/>
          <w:color w:val="000000" w:themeColor="text1"/>
        </w:rPr>
        <w:t xml:space="preserve">Öte yandan </w:t>
      </w:r>
      <w:r w:rsidRPr="00EF6785">
        <w:rPr>
          <w:bCs/>
          <w:color w:val="000000" w:themeColor="text1"/>
        </w:rPr>
        <w:t>B</w:t>
      </w:r>
      <w:r w:rsidR="001D2C50" w:rsidRPr="00EF6785">
        <w:rPr>
          <w:bCs/>
          <w:color w:val="000000" w:themeColor="text1"/>
        </w:rPr>
        <w:t>TK ta</w:t>
      </w:r>
      <w:r w:rsidRPr="00EF6785">
        <w:rPr>
          <w:bCs/>
          <w:color w:val="000000" w:themeColor="text1"/>
        </w:rPr>
        <w:t xml:space="preserve">rafından </w:t>
      </w:r>
      <w:r w:rsidRPr="00D31718">
        <w:rPr>
          <w:bCs/>
          <w:color w:val="000000" w:themeColor="text1"/>
        </w:rPr>
        <w:t>teste gönderilen ürün parti sayısı</w:t>
      </w:r>
      <w:r w:rsidR="00963C63" w:rsidRPr="00D31718">
        <w:rPr>
          <w:bCs/>
          <w:color w:val="000000" w:themeColor="text1"/>
        </w:rPr>
        <w:t xml:space="preserve"> bir önceki yıla kıyasla 1.412’den 1.965’e yükselmiş, böylece</w:t>
      </w:r>
      <w:r w:rsidRPr="00D31718">
        <w:rPr>
          <w:bCs/>
          <w:color w:val="000000" w:themeColor="text1"/>
        </w:rPr>
        <w:t xml:space="preserve"> %</w:t>
      </w:r>
      <w:r w:rsidR="00293944" w:rsidRPr="00D31718">
        <w:rPr>
          <w:bCs/>
          <w:color w:val="000000" w:themeColor="text1"/>
        </w:rPr>
        <w:t>39</w:t>
      </w:r>
      <w:r w:rsidRPr="00D31718">
        <w:rPr>
          <w:bCs/>
          <w:color w:val="000000" w:themeColor="text1"/>
        </w:rPr>
        <w:t xml:space="preserve"> ora</w:t>
      </w:r>
      <w:r w:rsidR="00963C63" w:rsidRPr="00D31718">
        <w:rPr>
          <w:bCs/>
          <w:color w:val="000000" w:themeColor="text1"/>
        </w:rPr>
        <w:t xml:space="preserve">nında </w:t>
      </w:r>
      <w:r w:rsidR="00E80B5D" w:rsidRPr="00D31718">
        <w:rPr>
          <w:bCs/>
          <w:color w:val="000000" w:themeColor="text1"/>
        </w:rPr>
        <w:t>bir artış göstermiş</w:t>
      </w:r>
      <w:r w:rsidR="0016568A" w:rsidRPr="00D31718">
        <w:rPr>
          <w:bCs/>
          <w:color w:val="000000" w:themeColor="text1"/>
        </w:rPr>
        <w:t>tir.</w:t>
      </w:r>
      <w:r w:rsidR="00963C63" w:rsidRPr="00D31718">
        <w:rPr>
          <w:bCs/>
          <w:color w:val="000000" w:themeColor="text1"/>
        </w:rPr>
        <w:t xml:space="preserve"> Test edilen ürünlerdeki güvensizlik tespit oranına bakıldığında, 2018 yılında </w:t>
      </w:r>
      <w:r w:rsidR="00293944" w:rsidRPr="00D31718">
        <w:rPr>
          <w:bCs/>
          <w:color w:val="000000" w:themeColor="text1"/>
        </w:rPr>
        <w:t xml:space="preserve">hiç </w:t>
      </w:r>
      <w:proofErr w:type="gramStart"/>
      <w:r w:rsidR="00293944" w:rsidRPr="00D31718">
        <w:rPr>
          <w:bCs/>
          <w:color w:val="000000" w:themeColor="text1"/>
        </w:rPr>
        <w:t>güvensizlik  tespit</w:t>
      </w:r>
      <w:proofErr w:type="gramEnd"/>
      <w:r w:rsidR="00293944" w:rsidRPr="00D31718">
        <w:rPr>
          <w:bCs/>
          <w:color w:val="000000" w:themeColor="text1"/>
        </w:rPr>
        <w:t xml:space="preserve"> edilmemiş</w:t>
      </w:r>
      <w:r w:rsidR="00963C63" w:rsidRPr="00D31718">
        <w:rPr>
          <w:bCs/>
          <w:color w:val="000000" w:themeColor="text1"/>
        </w:rPr>
        <w:t>, 2019 yılında ise</w:t>
      </w:r>
      <w:r w:rsidR="00AD4E4A" w:rsidRPr="00D31718">
        <w:rPr>
          <w:bCs/>
          <w:color w:val="000000" w:themeColor="text1"/>
        </w:rPr>
        <w:t xml:space="preserve"> 11 adet güvensizlik tespit edilmiştir.</w:t>
      </w:r>
    </w:p>
    <w:p w:rsidR="001909B6" w:rsidRPr="008408F9" w:rsidRDefault="009F38B3" w:rsidP="00BE41A3">
      <w:pPr>
        <w:numPr>
          <w:ilvl w:val="0"/>
          <w:numId w:val="12"/>
        </w:numPr>
        <w:spacing w:after="240"/>
        <w:ind w:left="0" w:firstLine="0"/>
        <w:jc w:val="both"/>
        <w:rPr>
          <w:bCs/>
          <w:color w:val="000000" w:themeColor="text1"/>
        </w:rPr>
      </w:pPr>
      <w:proofErr w:type="gramStart"/>
      <w:r w:rsidRPr="00EF6785">
        <w:rPr>
          <w:color w:val="000000" w:themeColor="text1"/>
        </w:rPr>
        <w:t xml:space="preserve">2018 yılında </w:t>
      </w:r>
      <w:r w:rsidR="00CE27CB" w:rsidRPr="00EF6785">
        <w:rPr>
          <w:color w:val="000000" w:themeColor="text1"/>
        </w:rPr>
        <w:t>A</w:t>
      </w:r>
      <w:r w:rsidR="001909B6" w:rsidRPr="00EF6785">
        <w:rPr>
          <w:bCs/>
          <w:color w:val="000000" w:themeColor="text1"/>
        </w:rPr>
        <w:t>ÇS</w:t>
      </w:r>
      <w:r w:rsidR="00B43EE7" w:rsidRPr="00EF6785">
        <w:rPr>
          <w:bCs/>
          <w:color w:val="000000" w:themeColor="text1"/>
        </w:rPr>
        <w:t>H</w:t>
      </w:r>
      <w:r w:rsidR="001909B6" w:rsidRPr="00EF6785">
        <w:rPr>
          <w:bCs/>
          <w:color w:val="000000" w:themeColor="text1"/>
        </w:rPr>
        <w:t xml:space="preserve">B tarafından teste gönderilen </w:t>
      </w:r>
      <w:r w:rsidR="00CE27CB" w:rsidRPr="00EF6785">
        <w:rPr>
          <w:bCs/>
          <w:color w:val="000000" w:themeColor="text1"/>
        </w:rPr>
        <w:t>30</w:t>
      </w:r>
      <w:r w:rsidR="001909B6" w:rsidRPr="00EF6785">
        <w:rPr>
          <w:bCs/>
          <w:color w:val="000000" w:themeColor="text1"/>
        </w:rPr>
        <w:t>ürün</w:t>
      </w:r>
      <w:r w:rsidRPr="00EF6785">
        <w:rPr>
          <w:bCs/>
          <w:color w:val="000000" w:themeColor="text1"/>
        </w:rPr>
        <w:t xml:space="preserve"> partisinin</w:t>
      </w:r>
      <w:r w:rsidR="00CE27CB" w:rsidRPr="00EF6785">
        <w:rPr>
          <w:bCs/>
          <w:color w:val="000000" w:themeColor="text1"/>
        </w:rPr>
        <w:t xml:space="preserve"> 16’sında</w:t>
      </w:r>
      <w:r w:rsidR="00672DC1" w:rsidRPr="00EF6785">
        <w:rPr>
          <w:bCs/>
          <w:color w:val="000000" w:themeColor="text1"/>
        </w:rPr>
        <w:t xml:space="preserve"> (%</w:t>
      </w:r>
      <w:r w:rsidR="00CE27CB" w:rsidRPr="00EF6785">
        <w:rPr>
          <w:bCs/>
          <w:color w:val="000000" w:themeColor="text1"/>
        </w:rPr>
        <w:t>53</w:t>
      </w:r>
      <w:r w:rsidR="001909B6" w:rsidRPr="00EF6785">
        <w:rPr>
          <w:bCs/>
          <w:color w:val="000000" w:themeColor="text1"/>
        </w:rPr>
        <w:t>) güvensizlik tespit edilmiş</w:t>
      </w:r>
      <w:r w:rsidR="001579ED" w:rsidRPr="00EF6785">
        <w:rPr>
          <w:bCs/>
          <w:color w:val="000000" w:themeColor="text1"/>
        </w:rPr>
        <w:t xml:space="preserve"> ve Bakanlık teste gönderilen ürünler içerisinde en yüksek güvensizlik oranı</w:t>
      </w:r>
      <w:r w:rsidRPr="00EF6785">
        <w:rPr>
          <w:bCs/>
          <w:color w:val="000000" w:themeColor="text1"/>
        </w:rPr>
        <w:t xml:space="preserve">na sahip olan Bakanlık olmuş olmasına rağmen 2019 yılında aynı miktarda test yapılmasına rağmen 5 adet güvensizlik tespit edilmiş ve en yüksek güvensizlik oranına sahip ikinci Bakanlık olmuştur. </w:t>
      </w:r>
      <w:proofErr w:type="gramEnd"/>
      <w:r w:rsidR="001579ED" w:rsidRPr="00EF6785">
        <w:rPr>
          <w:bCs/>
          <w:color w:val="000000" w:themeColor="text1"/>
        </w:rPr>
        <w:t>Bakanlık tarafından 201</w:t>
      </w:r>
      <w:r w:rsidR="0041483D" w:rsidRPr="00EF6785">
        <w:rPr>
          <w:bCs/>
          <w:color w:val="000000" w:themeColor="text1"/>
        </w:rPr>
        <w:t>9</w:t>
      </w:r>
      <w:r w:rsidR="001579ED" w:rsidRPr="00EF6785">
        <w:rPr>
          <w:bCs/>
          <w:color w:val="000000" w:themeColor="text1"/>
        </w:rPr>
        <w:t xml:space="preserve"> senesinde teste gönderilen ürün partisi </w:t>
      </w:r>
      <w:proofErr w:type="spellStart"/>
      <w:r w:rsidR="001579ED" w:rsidRPr="00EF6785">
        <w:rPr>
          <w:bCs/>
          <w:color w:val="000000" w:themeColor="text1"/>
        </w:rPr>
        <w:t>sayısı</w:t>
      </w:r>
      <w:r w:rsidR="0041483D" w:rsidRPr="00EF6785">
        <w:rPr>
          <w:bCs/>
          <w:color w:val="000000" w:themeColor="text1"/>
        </w:rPr>
        <w:t>bir</w:t>
      </w:r>
      <w:proofErr w:type="spellEnd"/>
      <w:r w:rsidR="0041483D" w:rsidRPr="00EF6785">
        <w:rPr>
          <w:bCs/>
          <w:color w:val="000000" w:themeColor="text1"/>
        </w:rPr>
        <w:t xml:space="preserve"> önceki yıl ile aynı </w:t>
      </w:r>
      <w:proofErr w:type="spellStart"/>
      <w:r w:rsidR="0041483D" w:rsidRPr="00EF6785">
        <w:rPr>
          <w:bCs/>
          <w:color w:val="000000" w:themeColor="text1"/>
        </w:rPr>
        <w:t>iken</w:t>
      </w:r>
      <w:r w:rsidR="001579ED" w:rsidRPr="00EF6785">
        <w:rPr>
          <w:bCs/>
          <w:color w:val="000000" w:themeColor="text1"/>
        </w:rPr>
        <w:t>güvensiz</w:t>
      </w:r>
      <w:proofErr w:type="spellEnd"/>
      <w:r w:rsidR="001579ED" w:rsidRPr="00EF6785">
        <w:rPr>
          <w:bCs/>
          <w:color w:val="000000" w:themeColor="text1"/>
        </w:rPr>
        <w:t xml:space="preserve"> olduğu tespit edilen ürün parti sayısındaki a</w:t>
      </w:r>
      <w:r w:rsidR="00120FF0" w:rsidRPr="00EF6785">
        <w:rPr>
          <w:bCs/>
          <w:color w:val="000000" w:themeColor="text1"/>
        </w:rPr>
        <w:t>zalış</w:t>
      </w:r>
      <w:r w:rsidR="001579ED" w:rsidRPr="00EF6785">
        <w:rPr>
          <w:bCs/>
          <w:color w:val="000000" w:themeColor="text1"/>
        </w:rPr>
        <w:t xml:space="preserve"> (%</w:t>
      </w:r>
      <w:r w:rsidR="0041483D" w:rsidRPr="00EF6785">
        <w:rPr>
          <w:bCs/>
          <w:color w:val="000000" w:themeColor="text1"/>
        </w:rPr>
        <w:t>69</w:t>
      </w:r>
      <w:r w:rsidR="001579ED" w:rsidRPr="00EF6785">
        <w:rPr>
          <w:bCs/>
          <w:color w:val="000000" w:themeColor="text1"/>
        </w:rPr>
        <w:t>) Bakanlığın riskli ürünlerin tespitinde 201</w:t>
      </w:r>
      <w:r w:rsidR="0041483D" w:rsidRPr="00EF6785">
        <w:rPr>
          <w:bCs/>
          <w:color w:val="000000" w:themeColor="text1"/>
        </w:rPr>
        <w:t>9</w:t>
      </w:r>
      <w:r w:rsidR="001579ED" w:rsidRPr="00EF6785">
        <w:rPr>
          <w:bCs/>
          <w:color w:val="000000" w:themeColor="text1"/>
        </w:rPr>
        <w:t xml:space="preserve"> yılında </w:t>
      </w:r>
      <w:r w:rsidR="00120FF0" w:rsidRPr="00EF6785">
        <w:rPr>
          <w:bCs/>
          <w:color w:val="000000" w:themeColor="text1"/>
        </w:rPr>
        <w:t xml:space="preserve">bir önceki yıla göre </w:t>
      </w:r>
      <w:r w:rsidR="001579ED" w:rsidRPr="00EF6785">
        <w:rPr>
          <w:bCs/>
          <w:color w:val="000000" w:themeColor="text1"/>
        </w:rPr>
        <w:t>kamu kaynaklarını daha</w:t>
      </w:r>
      <w:r w:rsidR="00120FF0" w:rsidRPr="00EF6785">
        <w:rPr>
          <w:bCs/>
          <w:color w:val="000000" w:themeColor="text1"/>
        </w:rPr>
        <w:t xml:space="preserve"> az</w:t>
      </w:r>
      <w:r w:rsidR="001579ED" w:rsidRPr="00EF6785">
        <w:rPr>
          <w:bCs/>
          <w:color w:val="000000" w:themeColor="text1"/>
        </w:rPr>
        <w:t xml:space="preserve"> etkin kullandığının bir göstergesi olarak kabul edilebilecektir. </w:t>
      </w:r>
      <w:r w:rsidR="001909B6" w:rsidRPr="00EF6785">
        <w:rPr>
          <w:bCs/>
          <w:color w:val="000000" w:themeColor="text1"/>
        </w:rPr>
        <w:t xml:space="preserve">Öte </w:t>
      </w:r>
      <w:proofErr w:type="spellStart"/>
      <w:r w:rsidR="001909B6" w:rsidRPr="00EF6785">
        <w:rPr>
          <w:bCs/>
          <w:color w:val="000000" w:themeColor="text1"/>
        </w:rPr>
        <w:t>yandanBakanlıkça</w:t>
      </w:r>
      <w:proofErr w:type="spellEnd"/>
      <w:r w:rsidR="001909B6" w:rsidRPr="00EF6785">
        <w:rPr>
          <w:bCs/>
          <w:color w:val="000000" w:themeColor="text1"/>
        </w:rPr>
        <w:t xml:space="preserve"> teste gönderilen ürün sayısının hâlihazırda düşük olduğunu</w:t>
      </w:r>
      <w:r w:rsidR="001579ED" w:rsidRPr="00EF6785">
        <w:rPr>
          <w:bCs/>
          <w:color w:val="000000" w:themeColor="text1"/>
        </w:rPr>
        <w:t xml:space="preserve"> da </w:t>
      </w:r>
      <w:r w:rsidR="001909B6" w:rsidRPr="00EF6785">
        <w:rPr>
          <w:bCs/>
          <w:color w:val="000000" w:themeColor="text1"/>
        </w:rPr>
        <w:t>göz önünde bulundurmak</w:t>
      </w:r>
      <w:r w:rsidR="001909B6">
        <w:rPr>
          <w:bCs/>
          <w:color w:val="000000" w:themeColor="text1"/>
        </w:rPr>
        <w:t xml:space="preserve"> gerekmektedir.</w:t>
      </w:r>
      <w:r w:rsidR="001579ED">
        <w:rPr>
          <w:bCs/>
          <w:color w:val="000000" w:themeColor="text1"/>
        </w:rPr>
        <w:t xml:space="preserve"> Güvensizlik oranların</w:t>
      </w:r>
      <w:r w:rsidR="00883B76">
        <w:rPr>
          <w:bCs/>
          <w:color w:val="000000" w:themeColor="text1"/>
        </w:rPr>
        <w:t>ın</w:t>
      </w:r>
      <w:r w:rsidR="001579ED">
        <w:rPr>
          <w:bCs/>
          <w:color w:val="000000" w:themeColor="text1"/>
        </w:rPr>
        <w:t xml:space="preserve"> bu kadar yüksek olduğu bir ürün grubunda hali hazırda kendi laboratuvar </w:t>
      </w:r>
      <w:proofErr w:type="gramStart"/>
      <w:r w:rsidR="001579ED">
        <w:rPr>
          <w:bCs/>
          <w:color w:val="000000" w:themeColor="text1"/>
        </w:rPr>
        <w:t>imkanlarına</w:t>
      </w:r>
      <w:proofErr w:type="gramEnd"/>
      <w:r w:rsidR="001579ED">
        <w:rPr>
          <w:bCs/>
          <w:color w:val="000000" w:themeColor="text1"/>
        </w:rPr>
        <w:t xml:space="preserve"> sahip olan Bakanlıkça test</w:t>
      </w:r>
      <w:r w:rsidR="004508D2">
        <w:rPr>
          <w:bCs/>
          <w:color w:val="000000" w:themeColor="text1"/>
        </w:rPr>
        <w:t>/</w:t>
      </w:r>
      <w:r w:rsidR="001579ED">
        <w:rPr>
          <w:bCs/>
          <w:color w:val="000000" w:themeColor="text1"/>
        </w:rPr>
        <w:t>muayene işlemlerinin düşük tutulmasının nedenlerinin değerlendirilmesinin, olası kaynak sorunları için gerekli planlamaların yapılmasının ve bu alana ihtiyaç duyulabilecek bütçenin ayrılmasının elzem olduğu değerlendirilmektedir.</w:t>
      </w:r>
    </w:p>
    <w:p w:rsidR="005E148B" w:rsidRDefault="001579ED" w:rsidP="00BE41A3">
      <w:pPr>
        <w:numPr>
          <w:ilvl w:val="0"/>
          <w:numId w:val="12"/>
        </w:numPr>
        <w:spacing w:after="240"/>
        <w:ind w:left="0" w:firstLine="0"/>
        <w:jc w:val="both"/>
        <w:rPr>
          <w:bCs/>
          <w:color w:val="000000" w:themeColor="text1"/>
        </w:rPr>
      </w:pPr>
      <w:r w:rsidRPr="00CB0DF7">
        <w:rPr>
          <w:bCs/>
          <w:color w:val="000000" w:themeColor="text1"/>
        </w:rPr>
        <w:t>201</w:t>
      </w:r>
      <w:r w:rsidR="00EF6785">
        <w:rPr>
          <w:bCs/>
          <w:color w:val="000000" w:themeColor="text1"/>
        </w:rPr>
        <w:t>8</w:t>
      </w:r>
      <w:r w:rsidRPr="00CB0DF7">
        <w:rPr>
          <w:bCs/>
          <w:color w:val="000000" w:themeColor="text1"/>
        </w:rPr>
        <w:t xml:space="preserve"> senesinde </w:t>
      </w:r>
      <w:r w:rsidR="001909B6" w:rsidRPr="00CB0DF7">
        <w:rPr>
          <w:bCs/>
          <w:color w:val="000000" w:themeColor="text1"/>
        </w:rPr>
        <w:t>SB tarafından</w:t>
      </w:r>
      <w:r w:rsidR="00FD73B7" w:rsidRPr="00CB0DF7">
        <w:rPr>
          <w:bCs/>
          <w:color w:val="000000" w:themeColor="text1"/>
        </w:rPr>
        <w:t xml:space="preserve"> teste tabi tutulan </w:t>
      </w:r>
      <w:r w:rsidR="000E03E6" w:rsidRPr="00CB0DF7">
        <w:rPr>
          <w:bCs/>
          <w:color w:val="000000" w:themeColor="text1"/>
        </w:rPr>
        <w:t>300 ürün</w:t>
      </w:r>
      <w:r w:rsidR="00EF6785">
        <w:rPr>
          <w:bCs/>
          <w:color w:val="000000" w:themeColor="text1"/>
        </w:rPr>
        <w:t xml:space="preserve"> partisinin</w:t>
      </w:r>
      <w:r w:rsidR="000E03E6" w:rsidRPr="00CB0DF7">
        <w:rPr>
          <w:bCs/>
          <w:color w:val="000000" w:themeColor="text1"/>
        </w:rPr>
        <w:t xml:space="preserve"> 59’u</w:t>
      </w:r>
      <w:r w:rsidR="002D1CFC">
        <w:rPr>
          <w:bCs/>
          <w:color w:val="000000" w:themeColor="text1"/>
        </w:rPr>
        <w:t xml:space="preserve"> (%</w:t>
      </w:r>
      <w:r w:rsidR="000E03E6" w:rsidRPr="00CB0DF7">
        <w:rPr>
          <w:bCs/>
          <w:color w:val="000000" w:themeColor="text1"/>
        </w:rPr>
        <w:t>20</w:t>
      </w:r>
      <w:r w:rsidR="00FD73B7" w:rsidRPr="00CB0DF7">
        <w:rPr>
          <w:bCs/>
          <w:color w:val="000000" w:themeColor="text1"/>
        </w:rPr>
        <w:t>) güvensiz bulunmuş</w:t>
      </w:r>
      <w:r w:rsidR="00EF6785">
        <w:rPr>
          <w:bCs/>
          <w:color w:val="000000" w:themeColor="text1"/>
        </w:rPr>
        <w:t xml:space="preserve">, 2019 senesinde 314 ürün partisinin 62’si güvensiz bulunmuştur. Bu kapsamda her iki yılda da test </w:t>
      </w:r>
      <w:r w:rsidR="00EF6785" w:rsidRPr="00A644B4">
        <w:rPr>
          <w:bCs/>
          <w:color w:val="000000" w:themeColor="text1"/>
        </w:rPr>
        <w:t xml:space="preserve">edilen ürünlerdeki güvensizlik tespit oranı %20 oranında gerçekleşmiştir.  </w:t>
      </w:r>
      <w:r w:rsidR="00FD73B7" w:rsidRPr="00A644B4">
        <w:rPr>
          <w:bCs/>
          <w:color w:val="000000" w:themeColor="text1"/>
        </w:rPr>
        <w:t>Tı</w:t>
      </w:r>
      <w:r w:rsidR="007B73B5" w:rsidRPr="00A644B4">
        <w:rPr>
          <w:bCs/>
          <w:color w:val="000000" w:themeColor="text1"/>
        </w:rPr>
        <w:t xml:space="preserve">bbi cihazlar ürün grubunda </w:t>
      </w:r>
      <w:r w:rsidR="007B73B5" w:rsidRPr="00A644B4">
        <w:rPr>
          <w:bCs/>
        </w:rPr>
        <w:t>teste</w:t>
      </w:r>
      <w:r w:rsidR="007B73B5" w:rsidRPr="000D0698">
        <w:rPr>
          <w:bCs/>
        </w:rPr>
        <w:t xml:space="preserve"> tabi tutulan ürün parti sayısının </w:t>
      </w:r>
      <w:r w:rsidR="00A65431">
        <w:rPr>
          <w:bCs/>
        </w:rPr>
        <w:t>81</w:t>
      </w:r>
      <w:r w:rsidR="007B73B5" w:rsidRPr="000D0698">
        <w:rPr>
          <w:bCs/>
        </w:rPr>
        <w:t xml:space="preserve"> olduğu, bunun </w:t>
      </w:r>
      <w:r w:rsidR="00A65431">
        <w:rPr>
          <w:bCs/>
        </w:rPr>
        <w:t>10</w:t>
      </w:r>
      <w:r w:rsidR="007B73B5" w:rsidRPr="000D0698">
        <w:rPr>
          <w:bCs/>
        </w:rPr>
        <w:t xml:space="preserve"> tanesinin güvensiz olduğu görülmektedir. </w:t>
      </w:r>
      <w:r>
        <w:rPr>
          <w:bCs/>
          <w:color w:val="000000" w:themeColor="text1"/>
        </w:rPr>
        <w:t>Bununla birlikte kozmetikler ürün grubunda teste ta</w:t>
      </w:r>
      <w:r w:rsidR="00A65431">
        <w:rPr>
          <w:bCs/>
          <w:color w:val="000000" w:themeColor="text1"/>
        </w:rPr>
        <w:t>bi tutulan ürün parti sayısının</w:t>
      </w:r>
      <w:r w:rsidR="000E03E6">
        <w:rPr>
          <w:bCs/>
          <w:color w:val="000000" w:themeColor="text1"/>
        </w:rPr>
        <w:t xml:space="preserve"> 2</w:t>
      </w:r>
      <w:r>
        <w:rPr>
          <w:bCs/>
          <w:color w:val="000000" w:themeColor="text1"/>
        </w:rPr>
        <w:t>3</w:t>
      </w:r>
      <w:r w:rsidR="000E03E6">
        <w:rPr>
          <w:bCs/>
          <w:color w:val="000000" w:themeColor="text1"/>
        </w:rPr>
        <w:t>9’</w:t>
      </w:r>
      <w:r w:rsidR="00A65431">
        <w:rPr>
          <w:bCs/>
          <w:color w:val="000000" w:themeColor="text1"/>
        </w:rPr>
        <w:t>d</w:t>
      </w:r>
      <w:r w:rsidR="000E03E6">
        <w:rPr>
          <w:bCs/>
          <w:color w:val="000000" w:themeColor="text1"/>
        </w:rPr>
        <w:t>a</w:t>
      </w:r>
      <w:r w:rsidR="00A65431">
        <w:rPr>
          <w:bCs/>
          <w:color w:val="000000" w:themeColor="text1"/>
        </w:rPr>
        <w:t>n 197’ye düştüğü</w:t>
      </w:r>
      <w:r>
        <w:rPr>
          <w:bCs/>
          <w:color w:val="000000" w:themeColor="text1"/>
        </w:rPr>
        <w:t xml:space="preserve"> görülmektedir. </w:t>
      </w:r>
      <w:r w:rsidR="005E148B">
        <w:rPr>
          <w:bCs/>
          <w:color w:val="000000" w:themeColor="text1"/>
        </w:rPr>
        <w:t xml:space="preserve">Teste </w:t>
      </w:r>
      <w:r w:rsidR="000E03E6">
        <w:rPr>
          <w:bCs/>
          <w:color w:val="000000" w:themeColor="text1"/>
        </w:rPr>
        <w:t xml:space="preserve">tabi tutulan bu ürünlerin ise </w:t>
      </w:r>
      <w:r w:rsidR="00A65431">
        <w:rPr>
          <w:bCs/>
          <w:color w:val="000000" w:themeColor="text1"/>
        </w:rPr>
        <w:t>16’sı</w:t>
      </w:r>
      <w:r w:rsidR="005E148B">
        <w:rPr>
          <w:bCs/>
          <w:color w:val="000000" w:themeColor="text1"/>
        </w:rPr>
        <w:t xml:space="preserve"> güvensiz bulunmuş</w:t>
      </w:r>
      <w:r w:rsidR="000E03E6">
        <w:rPr>
          <w:bCs/>
          <w:color w:val="000000" w:themeColor="text1"/>
        </w:rPr>
        <w:t>, böylece 201</w:t>
      </w:r>
      <w:r w:rsidR="00A65431">
        <w:rPr>
          <w:bCs/>
          <w:color w:val="000000" w:themeColor="text1"/>
        </w:rPr>
        <w:t>8</w:t>
      </w:r>
      <w:r w:rsidR="000E03E6">
        <w:rPr>
          <w:bCs/>
          <w:color w:val="000000" w:themeColor="text1"/>
        </w:rPr>
        <w:t xml:space="preserve"> yılı</w:t>
      </w:r>
      <w:r w:rsidR="00A65431">
        <w:rPr>
          <w:bCs/>
          <w:color w:val="000000" w:themeColor="text1"/>
        </w:rPr>
        <w:t>nda 53 olan güvensizlik sayısı ile kıyaslandığında %70 oranında azalma</w:t>
      </w:r>
      <w:r w:rsidR="000E03E6">
        <w:rPr>
          <w:bCs/>
          <w:color w:val="000000" w:themeColor="text1"/>
        </w:rPr>
        <w:t xml:space="preserve"> görülmüştür. </w:t>
      </w:r>
      <w:proofErr w:type="spellStart"/>
      <w:r w:rsidR="00A644B4">
        <w:rPr>
          <w:bCs/>
          <w:color w:val="000000" w:themeColor="text1"/>
        </w:rPr>
        <w:t>Biyosidal</w:t>
      </w:r>
      <w:proofErr w:type="spellEnd"/>
      <w:r w:rsidR="00A644B4">
        <w:rPr>
          <w:bCs/>
          <w:color w:val="000000" w:themeColor="text1"/>
        </w:rPr>
        <w:t xml:space="preserve"> ürünlerde 2018 yılında yapılan 14 testte 3 adet güvensizlik bulunmasına rağmen 2019 yılında yapılan 36 adet testin tamamında güvensizlik tespiti yapılmıştır.</w:t>
      </w:r>
    </w:p>
    <w:p w:rsidR="000C274F" w:rsidRPr="001F0C0A" w:rsidRDefault="008408F9" w:rsidP="00BE41A3">
      <w:pPr>
        <w:numPr>
          <w:ilvl w:val="0"/>
          <w:numId w:val="12"/>
        </w:numPr>
        <w:spacing w:after="240"/>
        <w:ind w:left="0" w:firstLine="0"/>
        <w:jc w:val="both"/>
        <w:rPr>
          <w:bCs/>
          <w:strike/>
          <w:color w:val="000000" w:themeColor="text1"/>
        </w:rPr>
      </w:pPr>
      <w:r w:rsidRPr="00F44F38">
        <w:rPr>
          <w:bCs/>
          <w:color w:val="000000" w:themeColor="text1"/>
        </w:rPr>
        <w:t>STB tarafından teste tabi tutulan ürün parti sayısı</w:t>
      </w:r>
      <w:r w:rsidR="006E71B4" w:rsidRPr="00F44F38">
        <w:rPr>
          <w:bCs/>
          <w:color w:val="000000" w:themeColor="text1"/>
        </w:rPr>
        <w:t xml:space="preserve"> 2018 yılında 627 iken 2019 yılında 623 olarak gerçekleşmiştir</w:t>
      </w:r>
      <w:r w:rsidR="006E71B4" w:rsidRPr="00B3490E">
        <w:rPr>
          <w:bCs/>
          <w:color w:val="000000" w:themeColor="text1"/>
        </w:rPr>
        <w:t>.</w:t>
      </w:r>
      <w:r w:rsidR="000C274F" w:rsidRPr="00B3490E">
        <w:rPr>
          <w:bCs/>
          <w:color w:val="000000" w:themeColor="text1"/>
        </w:rPr>
        <w:t xml:space="preserve"> Bununla </w:t>
      </w:r>
      <w:proofErr w:type="spellStart"/>
      <w:proofErr w:type="gramStart"/>
      <w:r w:rsidR="000C274F" w:rsidRPr="00B3490E">
        <w:rPr>
          <w:bCs/>
          <w:color w:val="000000" w:themeColor="text1"/>
        </w:rPr>
        <w:t>birlikte</w:t>
      </w:r>
      <w:r w:rsidR="004508D2" w:rsidRPr="00B3490E">
        <w:rPr>
          <w:bCs/>
          <w:color w:val="000000" w:themeColor="text1"/>
        </w:rPr>
        <w:t>,</w:t>
      </w:r>
      <w:r w:rsidRPr="00D31718">
        <w:rPr>
          <w:bCs/>
          <w:color w:val="000000" w:themeColor="text1"/>
        </w:rPr>
        <w:t>Bakanlıkçatest</w:t>
      </w:r>
      <w:proofErr w:type="spellEnd"/>
      <w:proofErr w:type="gramEnd"/>
      <w:r w:rsidRPr="00D31718">
        <w:rPr>
          <w:bCs/>
          <w:color w:val="000000" w:themeColor="text1"/>
        </w:rPr>
        <w:t xml:space="preserve"> edilen ürünler içinde güvensiz bulunanları</w:t>
      </w:r>
      <w:r w:rsidR="006E71B4" w:rsidRPr="00D31718">
        <w:rPr>
          <w:bCs/>
          <w:color w:val="000000" w:themeColor="text1"/>
        </w:rPr>
        <w:t xml:space="preserve">n sayısı 2018 yılında </w:t>
      </w:r>
      <w:r w:rsidR="001F0C0A" w:rsidRPr="00D31718">
        <w:rPr>
          <w:bCs/>
          <w:color w:val="000000" w:themeColor="text1"/>
        </w:rPr>
        <w:t xml:space="preserve">64 </w:t>
      </w:r>
      <w:r w:rsidR="006E71B4" w:rsidRPr="00D31718">
        <w:rPr>
          <w:bCs/>
          <w:color w:val="000000" w:themeColor="text1"/>
        </w:rPr>
        <w:t xml:space="preserve">iken 2019 yılında 81 olmuştur. Bu kapsamda Bakanlıkça test edilen ürünler </w:t>
      </w:r>
      <w:r w:rsidR="006E71B4" w:rsidRPr="00D31718">
        <w:rPr>
          <w:bCs/>
          <w:color w:val="000000" w:themeColor="text1"/>
        </w:rPr>
        <w:lastRenderedPageBreak/>
        <w:t>içerisindeki güvensizlik tespit</w:t>
      </w:r>
      <w:r w:rsidRPr="00D31718">
        <w:rPr>
          <w:bCs/>
          <w:color w:val="000000" w:themeColor="text1"/>
        </w:rPr>
        <w:t xml:space="preserve"> oranı </w:t>
      </w:r>
      <w:r w:rsidR="001F0C0A" w:rsidRPr="00D31718">
        <w:rPr>
          <w:bCs/>
          <w:color w:val="000000" w:themeColor="text1"/>
        </w:rPr>
        <w:t xml:space="preserve">%10’dan </w:t>
      </w:r>
      <w:r w:rsidR="006E71B4" w:rsidRPr="00D31718">
        <w:rPr>
          <w:bCs/>
          <w:color w:val="000000" w:themeColor="text1"/>
        </w:rPr>
        <w:t xml:space="preserve">%13’e </w:t>
      </w:r>
      <w:r w:rsidR="001F0C0A" w:rsidRPr="00D31718">
        <w:rPr>
          <w:bCs/>
          <w:color w:val="000000" w:themeColor="text1"/>
        </w:rPr>
        <w:t>yükselmiştir.</w:t>
      </w:r>
      <w:r w:rsidR="00D31718" w:rsidRPr="00D31718">
        <w:rPr>
          <w:bCs/>
          <w:color w:val="000000" w:themeColor="text1"/>
        </w:rPr>
        <w:t xml:space="preserve"> </w:t>
      </w:r>
      <w:r w:rsidR="006E71B4" w:rsidRPr="00D31718">
        <w:rPr>
          <w:bCs/>
          <w:color w:val="000000" w:themeColor="text1"/>
        </w:rPr>
        <w:t xml:space="preserve">Test edilen ürünlerdeki güvensizlik tespit oranının bu </w:t>
      </w:r>
      <w:r w:rsidR="001F0C0A" w:rsidRPr="00D31718">
        <w:rPr>
          <w:bCs/>
          <w:color w:val="000000" w:themeColor="text1"/>
        </w:rPr>
        <w:t>artışı olumlu</w:t>
      </w:r>
      <w:r w:rsidR="00D31718" w:rsidRPr="00D31718">
        <w:rPr>
          <w:bCs/>
          <w:color w:val="000000" w:themeColor="text1"/>
        </w:rPr>
        <w:t xml:space="preserve"> </w:t>
      </w:r>
      <w:r w:rsidR="006E71B4" w:rsidRPr="00D31718">
        <w:rPr>
          <w:bCs/>
          <w:color w:val="000000" w:themeColor="text1"/>
        </w:rPr>
        <w:t>görülmek</w:t>
      </w:r>
      <w:r w:rsidR="001F0C0A" w:rsidRPr="00D31718">
        <w:rPr>
          <w:bCs/>
          <w:color w:val="000000" w:themeColor="text1"/>
        </w:rPr>
        <w:t>tedir.</w:t>
      </w:r>
      <w:r w:rsidR="00D31718" w:rsidRPr="001F0C0A">
        <w:rPr>
          <w:bCs/>
          <w:strike/>
          <w:color w:val="000000" w:themeColor="text1"/>
        </w:rPr>
        <w:t xml:space="preserve"> </w:t>
      </w:r>
    </w:p>
    <w:p w:rsidR="008408F9" w:rsidRPr="002E069A" w:rsidRDefault="007C44C0" w:rsidP="007C44C0">
      <w:pPr>
        <w:numPr>
          <w:ilvl w:val="0"/>
          <w:numId w:val="12"/>
        </w:numPr>
        <w:spacing w:after="240"/>
        <w:ind w:left="0" w:firstLine="0"/>
        <w:jc w:val="both"/>
        <w:rPr>
          <w:bCs/>
          <w:color w:val="000000" w:themeColor="text1"/>
        </w:rPr>
      </w:pPr>
      <w:r w:rsidRPr="008B2319">
        <w:rPr>
          <w:bCs/>
          <w:color w:val="000000" w:themeColor="text1"/>
        </w:rPr>
        <w:t>TK</w:t>
      </w:r>
      <w:r w:rsidR="00892A86">
        <w:rPr>
          <w:bCs/>
          <w:color w:val="000000" w:themeColor="text1"/>
        </w:rPr>
        <w:t>PG</w:t>
      </w:r>
      <w:r w:rsidRPr="008B2319">
        <w:rPr>
          <w:bCs/>
          <w:color w:val="000000" w:themeColor="text1"/>
        </w:rPr>
        <w:t xml:space="preserve">GM </w:t>
      </w:r>
      <w:r w:rsidR="008408F9" w:rsidRPr="008B2319">
        <w:rPr>
          <w:bCs/>
          <w:color w:val="000000" w:themeColor="text1"/>
        </w:rPr>
        <w:t xml:space="preserve">tarafından denetlenen </w:t>
      </w:r>
      <w:r w:rsidR="008408F9" w:rsidRPr="00CE7968">
        <w:rPr>
          <w:bCs/>
          <w:color w:val="000000" w:themeColor="text1"/>
        </w:rPr>
        <w:t>ürünlerin</w:t>
      </w:r>
      <w:r w:rsidR="00892A86">
        <w:rPr>
          <w:bCs/>
          <w:color w:val="000000" w:themeColor="text1"/>
        </w:rPr>
        <w:t xml:space="preserve"> sayısı 2019</w:t>
      </w:r>
      <w:r>
        <w:rPr>
          <w:bCs/>
          <w:color w:val="000000" w:themeColor="text1"/>
        </w:rPr>
        <w:t xml:space="preserve"> yılında %</w:t>
      </w:r>
      <w:r w:rsidR="00731878">
        <w:rPr>
          <w:bCs/>
          <w:color w:val="000000" w:themeColor="text1"/>
        </w:rPr>
        <w:t>47</w:t>
      </w:r>
      <w:r>
        <w:rPr>
          <w:bCs/>
          <w:color w:val="000000" w:themeColor="text1"/>
        </w:rPr>
        <w:t xml:space="preserve"> artarak </w:t>
      </w:r>
      <w:r w:rsidR="00892A86">
        <w:rPr>
          <w:bCs/>
          <w:color w:val="000000" w:themeColor="text1"/>
        </w:rPr>
        <w:t>2.686’ya</w:t>
      </w:r>
      <w:r>
        <w:rPr>
          <w:bCs/>
          <w:color w:val="000000" w:themeColor="text1"/>
        </w:rPr>
        <w:t xml:space="preserve"> yükselmiştir. </w:t>
      </w:r>
      <w:r w:rsidR="00731878">
        <w:rPr>
          <w:bCs/>
          <w:color w:val="000000" w:themeColor="text1"/>
        </w:rPr>
        <w:t xml:space="preserve">Buna rağmen </w:t>
      </w:r>
      <w:r>
        <w:rPr>
          <w:bCs/>
          <w:color w:val="000000" w:themeColor="text1"/>
        </w:rPr>
        <w:t>201</w:t>
      </w:r>
      <w:r w:rsidR="00731878">
        <w:rPr>
          <w:bCs/>
          <w:color w:val="000000" w:themeColor="text1"/>
        </w:rPr>
        <w:t>8</w:t>
      </w:r>
      <w:r>
        <w:rPr>
          <w:bCs/>
          <w:color w:val="000000" w:themeColor="text1"/>
        </w:rPr>
        <w:t xml:space="preserve"> yılında Bakanlıkça denetlenen ürünlerin </w:t>
      </w:r>
      <w:r w:rsidR="00CE7968" w:rsidRPr="00CE7968">
        <w:rPr>
          <w:bCs/>
          <w:color w:val="000000" w:themeColor="text1"/>
        </w:rPr>
        <w:t>%</w:t>
      </w:r>
      <w:r w:rsidR="00731878">
        <w:rPr>
          <w:bCs/>
          <w:color w:val="000000" w:themeColor="text1"/>
        </w:rPr>
        <w:t>16’sı</w:t>
      </w:r>
      <w:r w:rsidR="008408F9" w:rsidRPr="00CE7968">
        <w:rPr>
          <w:bCs/>
          <w:color w:val="000000" w:themeColor="text1"/>
        </w:rPr>
        <w:t>teste tabi tutulm</w:t>
      </w:r>
      <w:r w:rsidR="00CE7968" w:rsidRPr="00CE7968">
        <w:rPr>
          <w:bCs/>
          <w:color w:val="000000" w:themeColor="text1"/>
        </w:rPr>
        <w:t xml:space="preserve">uş </w:t>
      </w:r>
      <w:r w:rsidR="00731878">
        <w:rPr>
          <w:bCs/>
          <w:color w:val="000000" w:themeColor="text1"/>
        </w:rPr>
        <w:t>ve</w:t>
      </w:r>
      <w:r w:rsidR="00CE7968" w:rsidRPr="00CE7968">
        <w:rPr>
          <w:bCs/>
          <w:color w:val="000000" w:themeColor="text1"/>
        </w:rPr>
        <w:t xml:space="preserve"> bu oran </w:t>
      </w:r>
      <w:r>
        <w:rPr>
          <w:bCs/>
          <w:color w:val="000000" w:themeColor="text1"/>
        </w:rPr>
        <w:t>201</w:t>
      </w:r>
      <w:r w:rsidR="00731878">
        <w:rPr>
          <w:bCs/>
          <w:color w:val="000000" w:themeColor="text1"/>
        </w:rPr>
        <w:t xml:space="preserve">9 yılında %7’ye </w:t>
      </w:r>
      <w:proofErr w:type="spellStart"/>
      <w:proofErr w:type="gramStart"/>
      <w:r w:rsidR="00731878">
        <w:rPr>
          <w:bCs/>
          <w:color w:val="000000" w:themeColor="text1"/>
        </w:rPr>
        <w:t>düşmüştür.</w:t>
      </w:r>
      <w:r w:rsidR="008408F9" w:rsidRPr="00CE7968">
        <w:rPr>
          <w:bCs/>
          <w:color w:val="000000" w:themeColor="text1"/>
        </w:rPr>
        <w:t>Bakanlıkça</w:t>
      </w:r>
      <w:proofErr w:type="spellEnd"/>
      <w:proofErr w:type="gramEnd"/>
      <w:r w:rsidR="008408F9" w:rsidRPr="00CE7968">
        <w:rPr>
          <w:bCs/>
          <w:color w:val="000000" w:themeColor="text1"/>
        </w:rPr>
        <w:t xml:space="preserve"> denet</w:t>
      </w:r>
      <w:r w:rsidR="00595D68" w:rsidRPr="00CE7968">
        <w:rPr>
          <w:bCs/>
          <w:color w:val="000000" w:themeColor="text1"/>
        </w:rPr>
        <w:t xml:space="preserve">lenen </w:t>
      </w:r>
      <w:r w:rsidR="008408F9" w:rsidRPr="00CE7968">
        <w:rPr>
          <w:bCs/>
          <w:color w:val="000000" w:themeColor="text1"/>
        </w:rPr>
        <w:t>ürün parti sayısı</w:t>
      </w:r>
      <w:r>
        <w:rPr>
          <w:bCs/>
          <w:color w:val="000000" w:themeColor="text1"/>
        </w:rPr>
        <w:t>nda%</w:t>
      </w:r>
      <w:r w:rsidR="00731878">
        <w:rPr>
          <w:bCs/>
          <w:color w:val="000000" w:themeColor="text1"/>
        </w:rPr>
        <w:t xml:space="preserve">47 </w:t>
      </w:r>
      <w:r w:rsidR="008408F9" w:rsidRPr="0043414B">
        <w:rPr>
          <w:bCs/>
          <w:color w:val="000000" w:themeColor="text1"/>
        </w:rPr>
        <w:t xml:space="preserve">oranında </w:t>
      </w:r>
      <w:r w:rsidR="00CE7968" w:rsidRPr="0043414B">
        <w:rPr>
          <w:bCs/>
          <w:color w:val="000000" w:themeColor="text1"/>
        </w:rPr>
        <w:t>a</w:t>
      </w:r>
      <w:r w:rsidR="00731878">
        <w:rPr>
          <w:bCs/>
          <w:color w:val="000000" w:themeColor="text1"/>
        </w:rPr>
        <w:t>rtma</w:t>
      </w:r>
      <w:r>
        <w:rPr>
          <w:bCs/>
          <w:color w:val="000000" w:themeColor="text1"/>
        </w:rPr>
        <w:t xml:space="preserve"> olmasına rağmen</w:t>
      </w:r>
      <w:r w:rsidR="004508D2">
        <w:rPr>
          <w:bCs/>
          <w:color w:val="000000" w:themeColor="text1"/>
        </w:rPr>
        <w:t>,</w:t>
      </w:r>
      <w:r>
        <w:rPr>
          <w:bCs/>
          <w:color w:val="000000" w:themeColor="text1"/>
        </w:rPr>
        <w:t xml:space="preserve"> teste gönderilen ürün sayısı </w:t>
      </w:r>
      <w:r w:rsidR="00731878">
        <w:rPr>
          <w:bCs/>
          <w:color w:val="000000" w:themeColor="text1"/>
        </w:rPr>
        <w:t>azalmış</w:t>
      </w:r>
      <w:r>
        <w:rPr>
          <w:bCs/>
          <w:color w:val="000000" w:themeColor="text1"/>
        </w:rPr>
        <w:t>, söz konusu ürünler</w:t>
      </w:r>
      <w:r w:rsidR="008408F9" w:rsidRPr="007C44C0">
        <w:rPr>
          <w:bCs/>
          <w:color w:val="000000" w:themeColor="text1"/>
        </w:rPr>
        <w:t xml:space="preserve"> içerisinde güvensizlik tespit oranı ise </w:t>
      </w:r>
      <w:r w:rsidR="00731878">
        <w:rPr>
          <w:bCs/>
          <w:color w:val="000000" w:themeColor="text1"/>
        </w:rPr>
        <w:t xml:space="preserve">bir </w:t>
      </w:r>
      <w:r w:rsidR="0043414B" w:rsidRPr="007C44C0">
        <w:rPr>
          <w:bCs/>
          <w:color w:val="000000" w:themeColor="text1"/>
        </w:rPr>
        <w:t>ön</w:t>
      </w:r>
      <w:r w:rsidR="00731878">
        <w:rPr>
          <w:bCs/>
          <w:color w:val="000000" w:themeColor="text1"/>
        </w:rPr>
        <w:t>ceki yıl</w:t>
      </w:r>
      <w:r w:rsidR="00C76E76">
        <w:rPr>
          <w:bCs/>
          <w:color w:val="000000" w:themeColor="text1"/>
        </w:rPr>
        <w:t>a kıyasla %34</w:t>
      </w:r>
      <w:r w:rsidR="00731878">
        <w:rPr>
          <w:bCs/>
          <w:color w:val="000000" w:themeColor="text1"/>
        </w:rPr>
        <w:t>’ten %28’e düşmüştür.</w:t>
      </w:r>
      <w:r w:rsidR="0043414B" w:rsidRPr="007C44C0">
        <w:rPr>
          <w:bCs/>
          <w:color w:val="000000" w:themeColor="text1"/>
        </w:rPr>
        <w:t xml:space="preserve"> Diğer taraftan </w:t>
      </w:r>
      <w:r w:rsidR="008408F9" w:rsidRPr="007C44C0">
        <w:rPr>
          <w:bCs/>
          <w:color w:val="000000" w:themeColor="text1"/>
        </w:rPr>
        <w:t xml:space="preserve">bu oran </w:t>
      </w:r>
      <w:r w:rsidR="00731878">
        <w:rPr>
          <w:bCs/>
          <w:color w:val="000000" w:themeColor="text1"/>
        </w:rPr>
        <w:t>diğer tüketici ürünlerinde %75 seviyesindedir.</w:t>
      </w:r>
    </w:p>
    <w:p w:rsidR="00DB4848" w:rsidRDefault="00AE0C41" w:rsidP="00DB4848">
      <w:pPr>
        <w:numPr>
          <w:ilvl w:val="0"/>
          <w:numId w:val="12"/>
        </w:numPr>
        <w:spacing w:after="240"/>
        <w:ind w:left="0" w:firstLine="0"/>
        <w:jc w:val="both"/>
        <w:rPr>
          <w:bCs/>
          <w:color w:val="000000" w:themeColor="text1"/>
        </w:rPr>
      </w:pPr>
      <w:r w:rsidRPr="002E069A">
        <w:rPr>
          <w:bCs/>
          <w:color w:val="000000" w:themeColor="text1"/>
        </w:rPr>
        <w:t xml:space="preserve">Teste tabi tutulan </w:t>
      </w:r>
      <w:r w:rsidR="008408F9" w:rsidRPr="002E069A">
        <w:rPr>
          <w:bCs/>
          <w:color w:val="000000" w:themeColor="text1"/>
        </w:rPr>
        <w:t>ürünler içerisinde</w:t>
      </w:r>
      <w:r>
        <w:rPr>
          <w:bCs/>
          <w:color w:val="000000" w:themeColor="text1"/>
        </w:rPr>
        <w:t xml:space="preserve"> güvensizlik oranının</w:t>
      </w:r>
      <w:r w:rsidR="008408F9" w:rsidRPr="008408F9">
        <w:rPr>
          <w:bCs/>
          <w:color w:val="000000" w:themeColor="text1"/>
        </w:rPr>
        <w:t xml:space="preserve"> en yüksek olduğu ürün </w:t>
      </w:r>
      <w:proofErr w:type="spellStart"/>
      <w:r w:rsidR="008408F9" w:rsidRPr="008408F9">
        <w:rPr>
          <w:bCs/>
          <w:color w:val="000000" w:themeColor="text1"/>
        </w:rPr>
        <w:t>gru</w:t>
      </w:r>
      <w:r w:rsidR="0047642F">
        <w:rPr>
          <w:bCs/>
          <w:color w:val="000000" w:themeColor="text1"/>
        </w:rPr>
        <w:t>bu</w:t>
      </w:r>
      <w:r w:rsidR="009E36EC">
        <w:rPr>
          <w:bCs/>
          <w:color w:val="000000" w:themeColor="text1"/>
        </w:rPr>
        <w:t>biyosidaller</w:t>
      </w:r>
      <w:proofErr w:type="spellEnd"/>
      <w:r w:rsidR="009E36EC">
        <w:rPr>
          <w:bCs/>
          <w:color w:val="000000" w:themeColor="text1"/>
        </w:rPr>
        <w:t xml:space="preserve"> (%100</w:t>
      </w:r>
      <w:r w:rsidR="0043414B">
        <w:rPr>
          <w:bCs/>
          <w:color w:val="000000" w:themeColor="text1"/>
        </w:rPr>
        <w:t xml:space="preserve">) olarak görünmekte olup, bu ürün grubunda </w:t>
      </w:r>
      <w:r w:rsidR="009E36EC">
        <w:rPr>
          <w:bCs/>
          <w:color w:val="000000" w:themeColor="text1"/>
        </w:rPr>
        <w:t>test yapılan36</w:t>
      </w:r>
      <w:r w:rsidR="0043414B">
        <w:rPr>
          <w:bCs/>
          <w:color w:val="000000" w:themeColor="text1"/>
        </w:rPr>
        <w:t xml:space="preserve"> ürün</w:t>
      </w:r>
      <w:r w:rsidR="009E36EC">
        <w:rPr>
          <w:bCs/>
          <w:color w:val="000000" w:themeColor="text1"/>
        </w:rPr>
        <w:t xml:space="preserve"> partisinin tamamında </w:t>
      </w:r>
      <w:r w:rsidR="0043414B">
        <w:rPr>
          <w:bCs/>
          <w:color w:val="000000" w:themeColor="text1"/>
        </w:rPr>
        <w:t>güvensiz</w:t>
      </w:r>
      <w:r w:rsidR="009E36EC">
        <w:rPr>
          <w:bCs/>
          <w:color w:val="000000" w:themeColor="text1"/>
        </w:rPr>
        <w:t>lik</w:t>
      </w:r>
      <w:r w:rsidR="0043414B">
        <w:rPr>
          <w:bCs/>
          <w:color w:val="000000" w:themeColor="text1"/>
        </w:rPr>
        <w:t xml:space="preserve"> tespit edilmiştir. Diğer taraftan daha yüksek sayıda test muayene işlemi gerçekleştirilen ürünlere bakıldığında güvensizlik </w:t>
      </w:r>
      <w:r w:rsidR="0043414B" w:rsidRPr="004F06CC">
        <w:rPr>
          <w:bCs/>
          <w:color w:val="000000" w:themeColor="text1"/>
        </w:rPr>
        <w:t xml:space="preserve">oranının </w:t>
      </w:r>
      <w:r w:rsidR="008408F9" w:rsidRPr="004F06CC">
        <w:rPr>
          <w:bCs/>
          <w:color w:val="000000" w:themeColor="text1"/>
        </w:rPr>
        <w:t xml:space="preserve">sırasıyla </w:t>
      </w:r>
      <w:r w:rsidR="009E36EC">
        <w:rPr>
          <w:bCs/>
          <w:color w:val="000000" w:themeColor="text1"/>
        </w:rPr>
        <w:t>diğer tüketici ürünleri</w:t>
      </w:r>
      <w:r w:rsidR="008408F9" w:rsidRPr="004F06CC">
        <w:rPr>
          <w:bCs/>
          <w:color w:val="000000" w:themeColor="text1"/>
        </w:rPr>
        <w:t xml:space="preserve"> (%</w:t>
      </w:r>
      <w:r w:rsidR="009E36EC">
        <w:rPr>
          <w:bCs/>
          <w:color w:val="000000" w:themeColor="text1"/>
        </w:rPr>
        <w:t>75</w:t>
      </w:r>
      <w:r w:rsidR="008408F9" w:rsidRPr="004F06CC">
        <w:rPr>
          <w:bCs/>
          <w:color w:val="000000" w:themeColor="text1"/>
        </w:rPr>
        <w:t xml:space="preserve">), </w:t>
      </w:r>
      <w:r w:rsidR="009E36EC">
        <w:rPr>
          <w:bCs/>
          <w:color w:val="000000" w:themeColor="text1"/>
        </w:rPr>
        <w:t>tekstil (%67</w:t>
      </w:r>
      <w:r w:rsidR="00612497">
        <w:rPr>
          <w:bCs/>
          <w:color w:val="000000" w:themeColor="text1"/>
        </w:rPr>
        <w:t xml:space="preserve">), </w:t>
      </w:r>
      <w:r w:rsidR="009E36EC">
        <w:rPr>
          <w:bCs/>
          <w:color w:val="000000" w:themeColor="text1"/>
        </w:rPr>
        <w:t>gaz yakan cihazlar (%33</w:t>
      </w:r>
      <w:r w:rsidR="00612497">
        <w:rPr>
          <w:bCs/>
          <w:color w:val="000000" w:themeColor="text1"/>
        </w:rPr>
        <w:t>)  ve</w:t>
      </w:r>
      <w:r w:rsidR="009E36EC">
        <w:rPr>
          <w:bCs/>
          <w:color w:val="000000" w:themeColor="text1"/>
        </w:rPr>
        <w:t xml:space="preserve"> çocuk kullanım ve bakım ürünleri</w:t>
      </w:r>
      <w:r w:rsidR="0043414B" w:rsidRPr="004F06CC">
        <w:rPr>
          <w:bCs/>
          <w:color w:val="000000" w:themeColor="text1"/>
        </w:rPr>
        <w:t xml:space="preserve"> (%</w:t>
      </w:r>
      <w:r w:rsidR="009E36EC">
        <w:rPr>
          <w:bCs/>
          <w:color w:val="000000" w:themeColor="text1"/>
        </w:rPr>
        <w:t>33</w:t>
      </w:r>
      <w:r w:rsidR="0043414B" w:rsidRPr="004F06CC">
        <w:rPr>
          <w:bCs/>
          <w:color w:val="000000" w:themeColor="text1"/>
        </w:rPr>
        <w:t xml:space="preserve">) </w:t>
      </w:r>
      <w:r w:rsidR="0043414B">
        <w:rPr>
          <w:bCs/>
          <w:color w:val="000000" w:themeColor="text1"/>
        </w:rPr>
        <w:t xml:space="preserve">olduğu görülmektedir. </w:t>
      </w:r>
    </w:p>
    <w:p w:rsidR="00DB4848" w:rsidRDefault="00B279DE" w:rsidP="00DB4848">
      <w:pPr>
        <w:spacing w:after="240"/>
        <w:jc w:val="both"/>
        <w:rPr>
          <w:bCs/>
          <w:color w:val="000000" w:themeColor="text1"/>
        </w:rPr>
      </w:pPr>
      <w:r>
        <w:rPr>
          <w:bCs/>
          <w:color w:val="000000" w:themeColor="text1"/>
        </w:rPr>
        <w:t xml:space="preserve">Denetlenen ürün </w:t>
      </w:r>
      <w:proofErr w:type="spellStart"/>
      <w:r>
        <w:rPr>
          <w:bCs/>
          <w:color w:val="000000" w:themeColor="text1"/>
        </w:rPr>
        <w:t>paritleri</w:t>
      </w:r>
      <w:proofErr w:type="spellEnd"/>
      <w:r w:rsidR="00AE0C41" w:rsidRPr="00DB4848">
        <w:rPr>
          <w:bCs/>
          <w:color w:val="000000" w:themeColor="text1"/>
        </w:rPr>
        <w:t xml:space="preserve"> içe</w:t>
      </w:r>
      <w:r w:rsidR="00B56E26" w:rsidRPr="00DB4848">
        <w:rPr>
          <w:bCs/>
          <w:color w:val="000000" w:themeColor="text1"/>
        </w:rPr>
        <w:t xml:space="preserve">risinde teste tabi tutulma </w:t>
      </w:r>
      <w:r w:rsidR="00AE0C41" w:rsidRPr="00DB4848">
        <w:rPr>
          <w:bCs/>
          <w:color w:val="000000" w:themeColor="text1"/>
        </w:rPr>
        <w:t>oranının en yüksek olduğu ürün grupları</w:t>
      </w:r>
      <w:r w:rsidR="00B56E26" w:rsidRPr="00DB4848">
        <w:rPr>
          <w:bCs/>
          <w:color w:val="000000" w:themeColor="text1"/>
        </w:rPr>
        <w:t>nın</w:t>
      </w:r>
      <w:r w:rsidR="00AE0C41" w:rsidRPr="00DB4848">
        <w:rPr>
          <w:bCs/>
          <w:color w:val="000000" w:themeColor="text1"/>
        </w:rPr>
        <w:t xml:space="preserve"> ise </w:t>
      </w:r>
      <w:r w:rsidR="00AF0E7B" w:rsidRPr="00DB4848">
        <w:rPr>
          <w:bCs/>
          <w:color w:val="000000" w:themeColor="text1"/>
        </w:rPr>
        <w:t>sırasıyla hazır beton (%7</w:t>
      </w:r>
      <w:r>
        <w:rPr>
          <w:bCs/>
          <w:color w:val="000000" w:themeColor="text1"/>
        </w:rPr>
        <w:t>5</w:t>
      </w:r>
      <w:r w:rsidR="00AF0E7B" w:rsidRPr="00DB4848">
        <w:rPr>
          <w:bCs/>
          <w:color w:val="000000" w:themeColor="text1"/>
        </w:rPr>
        <w:t xml:space="preserve">), </w:t>
      </w:r>
      <w:r w:rsidR="00B56E26" w:rsidRPr="00DB4848">
        <w:rPr>
          <w:bCs/>
          <w:color w:val="000000" w:themeColor="text1"/>
        </w:rPr>
        <w:t>telsiz telekomü</w:t>
      </w:r>
      <w:r w:rsidR="00AF0E7B" w:rsidRPr="00DB4848">
        <w:rPr>
          <w:bCs/>
          <w:color w:val="000000" w:themeColor="text1"/>
        </w:rPr>
        <w:t>nikasyon ve terminal ekipmanları (%</w:t>
      </w:r>
      <w:r>
        <w:rPr>
          <w:bCs/>
          <w:color w:val="000000" w:themeColor="text1"/>
        </w:rPr>
        <w:t>60</w:t>
      </w:r>
      <w:r w:rsidR="00AF0E7B" w:rsidRPr="00DB4848">
        <w:rPr>
          <w:bCs/>
          <w:color w:val="000000" w:themeColor="text1"/>
        </w:rPr>
        <w:t xml:space="preserve">),  </w:t>
      </w:r>
      <w:proofErr w:type="gramStart"/>
      <w:r>
        <w:rPr>
          <w:bCs/>
          <w:color w:val="000000" w:themeColor="text1"/>
        </w:rPr>
        <w:t>kağıt</w:t>
      </w:r>
      <w:proofErr w:type="gramEnd"/>
      <w:r>
        <w:rPr>
          <w:bCs/>
          <w:color w:val="000000" w:themeColor="text1"/>
        </w:rPr>
        <w:t xml:space="preserve"> ürünleri</w:t>
      </w:r>
      <w:r w:rsidR="00AF0E7B" w:rsidRPr="00DB4848">
        <w:rPr>
          <w:bCs/>
          <w:color w:val="000000" w:themeColor="text1"/>
        </w:rPr>
        <w:t xml:space="preserve"> (</w:t>
      </w:r>
      <w:r w:rsidR="00561846" w:rsidRPr="00DB4848">
        <w:rPr>
          <w:bCs/>
          <w:color w:val="000000" w:themeColor="text1"/>
        </w:rPr>
        <w:t>%</w:t>
      </w:r>
      <w:r w:rsidR="00612497" w:rsidRPr="00DB4848">
        <w:rPr>
          <w:bCs/>
          <w:color w:val="000000" w:themeColor="text1"/>
        </w:rPr>
        <w:t>3</w:t>
      </w:r>
      <w:r>
        <w:rPr>
          <w:bCs/>
          <w:color w:val="000000" w:themeColor="text1"/>
        </w:rPr>
        <w:t>6</w:t>
      </w:r>
      <w:r w:rsidR="00AF0E7B" w:rsidRPr="00DB4848">
        <w:rPr>
          <w:bCs/>
          <w:color w:val="000000" w:themeColor="text1"/>
        </w:rPr>
        <w:t xml:space="preserve">),  </w:t>
      </w:r>
      <w:r>
        <w:rPr>
          <w:bCs/>
          <w:color w:val="000000" w:themeColor="text1"/>
        </w:rPr>
        <w:t>kırtasiye (%28</w:t>
      </w:r>
      <w:r w:rsidR="00AF0E7B" w:rsidRPr="00DB4848">
        <w:rPr>
          <w:bCs/>
          <w:color w:val="000000" w:themeColor="text1"/>
        </w:rPr>
        <w:t xml:space="preserve">) </w:t>
      </w:r>
      <w:proofErr w:type="spellStart"/>
      <w:r w:rsidR="00AF0E7B" w:rsidRPr="00DB4848">
        <w:rPr>
          <w:bCs/>
          <w:color w:val="000000" w:themeColor="text1"/>
        </w:rPr>
        <w:t>ve</w:t>
      </w:r>
      <w:r>
        <w:rPr>
          <w:bCs/>
          <w:color w:val="000000" w:themeColor="text1"/>
        </w:rPr>
        <w:t>diğer</w:t>
      </w:r>
      <w:proofErr w:type="spellEnd"/>
      <w:r>
        <w:rPr>
          <w:bCs/>
          <w:color w:val="000000" w:themeColor="text1"/>
        </w:rPr>
        <w:t xml:space="preserve"> tüketici</w:t>
      </w:r>
      <w:r w:rsidR="00AF0E7B" w:rsidRPr="00DB4848">
        <w:rPr>
          <w:bCs/>
          <w:color w:val="000000" w:themeColor="text1"/>
        </w:rPr>
        <w:t xml:space="preserve"> ürünleri</w:t>
      </w:r>
      <w:r>
        <w:rPr>
          <w:bCs/>
          <w:color w:val="000000" w:themeColor="text1"/>
        </w:rPr>
        <w:t xml:space="preserve"> (%26</w:t>
      </w:r>
      <w:r w:rsidR="00FE2D81" w:rsidRPr="00DB4848">
        <w:rPr>
          <w:bCs/>
          <w:color w:val="000000" w:themeColor="text1"/>
        </w:rPr>
        <w:t>)</w:t>
      </w:r>
      <w:r w:rsidR="00AF0E7B" w:rsidRPr="00DB4848">
        <w:rPr>
          <w:bCs/>
          <w:color w:val="000000" w:themeColor="text1"/>
        </w:rPr>
        <w:t xml:space="preserve"> olduğu</w:t>
      </w:r>
      <w:r w:rsidR="00FE2D81" w:rsidRPr="00DB4848">
        <w:rPr>
          <w:bCs/>
          <w:color w:val="000000" w:themeColor="text1"/>
        </w:rPr>
        <w:t xml:space="preserve"> görülmüştür. </w:t>
      </w:r>
      <w:r w:rsidR="008408F9" w:rsidRPr="00DB4848">
        <w:rPr>
          <w:bCs/>
          <w:color w:val="000000" w:themeColor="text1"/>
        </w:rPr>
        <w:t>Bu alanda</w:t>
      </w:r>
      <w:r w:rsidR="00612497" w:rsidRPr="00DB4848">
        <w:rPr>
          <w:bCs/>
          <w:color w:val="000000" w:themeColor="text1"/>
        </w:rPr>
        <w:t>, TK</w:t>
      </w:r>
      <w:r>
        <w:rPr>
          <w:bCs/>
          <w:color w:val="000000" w:themeColor="text1"/>
        </w:rPr>
        <w:t>PG</w:t>
      </w:r>
      <w:r w:rsidR="00612497" w:rsidRPr="00DB4848">
        <w:rPr>
          <w:bCs/>
          <w:color w:val="000000" w:themeColor="text1"/>
        </w:rPr>
        <w:t>GM</w:t>
      </w:r>
      <w:r w:rsidR="00FE2D81" w:rsidRPr="00DB4848">
        <w:rPr>
          <w:bCs/>
          <w:color w:val="000000" w:themeColor="text1"/>
        </w:rPr>
        <w:t xml:space="preserve"> tarafından </w:t>
      </w:r>
      <w:r w:rsidR="008408F9" w:rsidRPr="00DB4848">
        <w:rPr>
          <w:bCs/>
          <w:color w:val="000000" w:themeColor="text1"/>
        </w:rPr>
        <w:t xml:space="preserve">tüketicilere yönelik özellikle kimyasal risk teşkil edebilecek ürünlerin yoğun olarak denetime tabi tutulmuş olması önemlidir. </w:t>
      </w:r>
      <w:bookmarkStart w:id="16" w:name="_Toc517085097"/>
      <w:bookmarkStart w:id="17" w:name="_Toc528314259"/>
      <w:bookmarkStart w:id="18" w:name="_Toc528315071"/>
    </w:p>
    <w:p w:rsidR="00871C02" w:rsidRDefault="008408F9" w:rsidP="00871C02">
      <w:pPr>
        <w:numPr>
          <w:ilvl w:val="0"/>
          <w:numId w:val="12"/>
        </w:numPr>
        <w:spacing w:after="240"/>
        <w:ind w:left="0" w:firstLine="0"/>
        <w:jc w:val="both"/>
        <w:rPr>
          <w:bCs/>
          <w:color w:val="000000" w:themeColor="text1"/>
        </w:rPr>
      </w:pPr>
      <w:r w:rsidRPr="00DB4848">
        <w:rPr>
          <w:bCs/>
          <w:color w:val="000000" w:themeColor="text1"/>
        </w:rPr>
        <w:t>201</w:t>
      </w:r>
      <w:r w:rsidR="008E367C">
        <w:rPr>
          <w:bCs/>
          <w:color w:val="000000" w:themeColor="text1"/>
        </w:rPr>
        <w:t>9</w:t>
      </w:r>
      <w:r w:rsidRPr="00DB4848">
        <w:rPr>
          <w:bCs/>
          <w:color w:val="000000" w:themeColor="text1"/>
        </w:rPr>
        <w:t xml:space="preserve"> senesinde </w:t>
      </w:r>
      <w:r w:rsidR="00F75AD9" w:rsidRPr="00DB4848">
        <w:rPr>
          <w:bCs/>
          <w:color w:val="000000" w:themeColor="text1"/>
        </w:rPr>
        <w:t>TO</w:t>
      </w:r>
      <w:r w:rsidRPr="00DB4848">
        <w:rPr>
          <w:bCs/>
          <w:color w:val="000000" w:themeColor="text1"/>
        </w:rPr>
        <w:t xml:space="preserve">B tarafından </w:t>
      </w:r>
      <w:r w:rsidR="00AE0C41" w:rsidRPr="00DB4848">
        <w:rPr>
          <w:bCs/>
          <w:color w:val="000000" w:themeColor="text1"/>
        </w:rPr>
        <w:t xml:space="preserve">gıda ve gıda ile temas eden madde ve malzemeler ile yem ve yem hammaddeleri ürün gruplarında denetlenen tüm ürünlerin teste tabi tutulduğu belirtilmekte </w:t>
      </w:r>
      <w:proofErr w:type="spellStart"/>
      <w:proofErr w:type="gramStart"/>
      <w:r w:rsidR="00AE0C41" w:rsidRPr="00DB4848">
        <w:rPr>
          <w:bCs/>
          <w:color w:val="000000" w:themeColor="text1"/>
        </w:rPr>
        <w:t>olup</w:t>
      </w:r>
      <w:r w:rsidR="00B84D30" w:rsidRPr="00DB4848">
        <w:rPr>
          <w:bCs/>
          <w:color w:val="000000" w:themeColor="text1"/>
        </w:rPr>
        <w:t>,</w:t>
      </w:r>
      <w:r w:rsidR="00F75AD9" w:rsidRPr="00DB4848">
        <w:rPr>
          <w:bCs/>
          <w:color w:val="000000" w:themeColor="text1"/>
        </w:rPr>
        <w:t>bu</w:t>
      </w:r>
      <w:proofErr w:type="spellEnd"/>
      <w:proofErr w:type="gramEnd"/>
      <w:r w:rsidR="00F75AD9" w:rsidRPr="00DB4848">
        <w:rPr>
          <w:bCs/>
          <w:color w:val="000000" w:themeColor="text1"/>
        </w:rPr>
        <w:t xml:space="preserve"> kapsamda gıda ve gıda ile temas eden madde ürün grubunda </w:t>
      </w:r>
      <w:r w:rsidR="008E367C">
        <w:rPr>
          <w:bCs/>
          <w:color w:val="000000" w:themeColor="text1"/>
        </w:rPr>
        <w:t>1.211</w:t>
      </w:r>
      <w:r w:rsidR="00F75AD9" w:rsidRPr="00DB4848">
        <w:rPr>
          <w:bCs/>
          <w:color w:val="000000" w:themeColor="text1"/>
        </w:rPr>
        <w:t xml:space="preserve"> adet güvensizlik tespit edilmiş, yem ve yem hammaddeleri ürün grubuna yönelik</w:t>
      </w:r>
      <w:r w:rsidR="00AE0C41" w:rsidRPr="00DB4848">
        <w:rPr>
          <w:bCs/>
          <w:color w:val="000000" w:themeColor="text1"/>
        </w:rPr>
        <w:t xml:space="preserve"> denetimlerin sonucuna ilişki</w:t>
      </w:r>
      <w:r w:rsidR="00F75AD9" w:rsidRPr="00DB4848">
        <w:rPr>
          <w:bCs/>
          <w:color w:val="000000" w:themeColor="text1"/>
        </w:rPr>
        <w:t xml:space="preserve">n hiçbir bilgi </w:t>
      </w:r>
      <w:proofErr w:type="spellStart"/>
      <w:r w:rsidR="00F75AD9" w:rsidRPr="00DB4848">
        <w:rPr>
          <w:bCs/>
          <w:color w:val="000000" w:themeColor="text1"/>
        </w:rPr>
        <w:t>sağlanamamıştır.Bakanlığın</w:t>
      </w:r>
      <w:proofErr w:type="spellEnd"/>
      <w:r w:rsidR="00F75AD9" w:rsidRPr="00DB4848">
        <w:rPr>
          <w:bCs/>
          <w:color w:val="000000" w:themeColor="text1"/>
        </w:rPr>
        <w:t xml:space="preserve"> önümüzdeki yıllarda bu verileri sağlamak adına gerekli önlemleri alması beklenmektedir. </w:t>
      </w:r>
      <w:r w:rsidR="00AE0C41" w:rsidRPr="00DB4848">
        <w:rPr>
          <w:bCs/>
          <w:color w:val="000000" w:themeColor="text1"/>
        </w:rPr>
        <w:t xml:space="preserve">Daha önceki yıllarda işaret belge denetimi </w:t>
      </w:r>
      <w:proofErr w:type="spellStart"/>
      <w:r w:rsidR="00FE2D81" w:rsidRPr="00DB4848">
        <w:rPr>
          <w:bCs/>
          <w:color w:val="000000" w:themeColor="text1"/>
        </w:rPr>
        <w:t>deyaptığı</w:t>
      </w:r>
      <w:proofErr w:type="spellEnd"/>
      <w:r w:rsidR="00FE2D81" w:rsidRPr="00DB4848">
        <w:rPr>
          <w:bCs/>
          <w:color w:val="000000" w:themeColor="text1"/>
        </w:rPr>
        <w:t xml:space="preserve"> bilinen Bakanlığın 2017</w:t>
      </w:r>
      <w:r w:rsidR="008E367C">
        <w:rPr>
          <w:bCs/>
          <w:color w:val="000000" w:themeColor="text1"/>
        </w:rPr>
        <w:t xml:space="preserve">’den itibaren </w:t>
      </w:r>
      <w:proofErr w:type="spellStart"/>
      <w:r w:rsidR="00F75AD9" w:rsidRPr="00DB4848">
        <w:rPr>
          <w:bCs/>
          <w:color w:val="000000" w:themeColor="text1"/>
        </w:rPr>
        <w:t>adıgeçen</w:t>
      </w:r>
      <w:r w:rsidR="00FE2D81" w:rsidRPr="00DB4848">
        <w:rPr>
          <w:bCs/>
          <w:color w:val="000000" w:themeColor="text1"/>
        </w:rPr>
        <w:t>ürünlerin</w:t>
      </w:r>
      <w:proofErr w:type="spellEnd"/>
      <w:r w:rsidR="00FE2D81" w:rsidRPr="00DB4848">
        <w:rPr>
          <w:bCs/>
          <w:color w:val="000000" w:themeColor="text1"/>
        </w:rPr>
        <w:t xml:space="preserve"> tamamını teste göndermeyi tercih etmesi dikkat </w:t>
      </w:r>
      <w:proofErr w:type="spellStart"/>
      <w:proofErr w:type="gramStart"/>
      <w:r w:rsidR="00FE2D81" w:rsidRPr="00DB4848">
        <w:rPr>
          <w:bCs/>
          <w:color w:val="000000" w:themeColor="text1"/>
        </w:rPr>
        <w:t>çekicidir.</w:t>
      </w:r>
      <w:r w:rsidR="00B84D30" w:rsidRPr="00DB4848">
        <w:rPr>
          <w:bCs/>
          <w:color w:val="000000" w:themeColor="text1"/>
        </w:rPr>
        <w:t>Bununla</w:t>
      </w:r>
      <w:proofErr w:type="spellEnd"/>
      <w:proofErr w:type="gramEnd"/>
      <w:r w:rsidR="00B84D30" w:rsidRPr="00DB4848">
        <w:rPr>
          <w:bCs/>
          <w:color w:val="000000" w:themeColor="text1"/>
        </w:rPr>
        <w:t xml:space="preserve"> birlikte, </w:t>
      </w:r>
      <w:r w:rsidR="00F75AD9" w:rsidRPr="00DB4848">
        <w:rPr>
          <w:bCs/>
          <w:color w:val="000000" w:themeColor="text1"/>
        </w:rPr>
        <w:t>kimyevi ve organik gübre ürün grubunda 1</w:t>
      </w:r>
      <w:r w:rsidR="008E367C">
        <w:rPr>
          <w:bCs/>
          <w:color w:val="000000" w:themeColor="text1"/>
        </w:rPr>
        <w:t>.318</w:t>
      </w:r>
      <w:r w:rsidR="00F75AD9" w:rsidRPr="00DB4848">
        <w:rPr>
          <w:bCs/>
          <w:color w:val="000000" w:themeColor="text1"/>
        </w:rPr>
        <w:t xml:space="preserve"> adet</w:t>
      </w:r>
      <w:r w:rsidR="008E367C">
        <w:rPr>
          <w:bCs/>
          <w:color w:val="000000" w:themeColor="text1"/>
        </w:rPr>
        <w:t xml:space="preserve"> test yapılmış ve bu testlerde 6</w:t>
      </w:r>
      <w:r w:rsidR="00F75AD9" w:rsidRPr="00DB4848">
        <w:rPr>
          <w:bCs/>
          <w:color w:val="000000" w:themeColor="text1"/>
        </w:rPr>
        <w:t xml:space="preserve"> adet güvensizlik tespit edilmiştir. </w:t>
      </w:r>
      <w:bookmarkEnd w:id="16"/>
      <w:bookmarkEnd w:id="17"/>
      <w:bookmarkEnd w:id="18"/>
      <w:r w:rsidR="008E367C">
        <w:rPr>
          <w:bCs/>
          <w:color w:val="000000" w:themeColor="text1"/>
        </w:rPr>
        <w:t xml:space="preserve">Sigarada 187, </w:t>
      </w:r>
      <w:proofErr w:type="spellStart"/>
      <w:r w:rsidR="008E367C">
        <w:rPr>
          <w:bCs/>
          <w:color w:val="000000" w:themeColor="text1"/>
        </w:rPr>
        <w:t>nargilelik</w:t>
      </w:r>
      <w:proofErr w:type="spellEnd"/>
      <w:r w:rsidR="008E367C">
        <w:rPr>
          <w:bCs/>
          <w:color w:val="000000" w:themeColor="text1"/>
        </w:rPr>
        <w:t xml:space="preserve"> tütün </w:t>
      </w:r>
      <w:proofErr w:type="spellStart"/>
      <w:r w:rsidR="008E367C">
        <w:rPr>
          <w:bCs/>
          <w:color w:val="000000" w:themeColor="text1"/>
        </w:rPr>
        <w:t>mamülünde</w:t>
      </w:r>
      <w:proofErr w:type="spellEnd"/>
      <w:r w:rsidR="008E367C">
        <w:rPr>
          <w:bCs/>
          <w:color w:val="000000" w:themeColor="text1"/>
        </w:rPr>
        <w:t xml:space="preserve"> 425, sarmalık kıyılmış tütün </w:t>
      </w:r>
      <w:proofErr w:type="spellStart"/>
      <w:r w:rsidR="008E367C">
        <w:rPr>
          <w:bCs/>
          <w:color w:val="000000" w:themeColor="text1"/>
        </w:rPr>
        <w:t>mamülünde</w:t>
      </w:r>
      <w:proofErr w:type="spellEnd"/>
      <w:r w:rsidR="008E367C">
        <w:rPr>
          <w:bCs/>
          <w:color w:val="000000" w:themeColor="text1"/>
        </w:rPr>
        <w:t xml:space="preserve"> 46, puro ve </w:t>
      </w:r>
      <w:proofErr w:type="spellStart"/>
      <w:r w:rsidR="008E367C">
        <w:rPr>
          <w:bCs/>
          <w:color w:val="000000" w:themeColor="text1"/>
        </w:rPr>
        <w:t>sigarilloda</w:t>
      </w:r>
      <w:proofErr w:type="spellEnd"/>
      <w:r w:rsidR="008E367C">
        <w:rPr>
          <w:bCs/>
          <w:color w:val="000000" w:themeColor="text1"/>
        </w:rPr>
        <w:t xml:space="preserve"> 66 adet ürün partisi denetlenmiş, denetimlerin tamamında test yapılmış ve söz konusu ürün gruplarında güvensizlik tespit edilmemiştir.</w:t>
      </w:r>
    </w:p>
    <w:p w:rsidR="00FD493F" w:rsidRDefault="00FD493F" w:rsidP="00AA15FA">
      <w:pPr>
        <w:spacing w:after="240"/>
        <w:jc w:val="both"/>
        <w:rPr>
          <w:bCs/>
          <w:color w:val="000000" w:themeColor="text1"/>
        </w:rPr>
      </w:pPr>
    </w:p>
    <w:p w:rsidR="00744A3B" w:rsidRDefault="00744A3B" w:rsidP="00AA15FA">
      <w:pPr>
        <w:spacing w:after="240"/>
        <w:jc w:val="both"/>
        <w:rPr>
          <w:bCs/>
          <w:color w:val="000000" w:themeColor="text1"/>
        </w:rPr>
      </w:pPr>
    </w:p>
    <w:p w:rsidR="00744A3B" w:rsidRDefault="00744A3B" w:rsidP="00AA15FA">
      <w:pPr>
        <w:spacing w:after="240"/>
        <w:jc w:val="both"/>
        <w:rPr>
          <w:bCs/>
          <w:color w:val="000000" w:themeColor="text1"/>
        </w:rPr>
      </w:pPr>
    </w:p>
    <w:p w:rsidR="00744A3B" w:rsidRDefault="00744A3B" w:rsidP="00AA15FA">
      <w:pPr>
        <w:spacing w:after="240"/>
        <w:jc w:val="both"/>
        <w:rPr>
          <w:bCs/>
          <w:color w:val="000000" w:themeColor="text1"/>
        </w:rPr>
      </w:pPr>
    </w:p>
    <w:p w:rsidR="00744A3B" w:rsidRDefault="00744A3B" w:rsidP="00AA15FA">
      <w:pPr>
        <w:spacing w:after="240"/>
        <w:jc w:val="both"/>
        <w:rPr>
          <w:bCs/>
          <w:color w:val="000000" w:themeColor="text1"/>
        </w:rPr>
      </w:pPr>
    </w:p>
    <w:p w:rsidR="00744A3B" w:rsidRDefault="00744A3B" w:rsidP="00AA15FA">
      <w:pPr>
        <w:spacing w:after="240"/>
        <w:jc w:val="both"/>
        <w:rPr>
          <w:bCs/>
          <w:color w:val="000000" w:themeColor="text1"/>
        </w:rPr>
      </w:pPr>
    </w:p>
    <w:p w:rsidR="008408F9" w:rsidRPr="006D3C51" w:rsidRDefault="008408F9" w:rsidP="00413CB3">
      <w:pPr>
        <w:pStyle w:val="Balk1"/>
        <w:numPr>
          <w:ilvl w:val="0"/>
          <w:numId w:val="15"/>
        </w:numPr>
        <w:ind w:left="708" w:firstLine="0"/>
        <w:rPr>
          <w:color w:val="000000" w:themeColor="text1"/>
        </w:rPr>
      </w:pPr>
      <w:bookmarkStart w:id="19" w:name="_Toc4892869"/>
      <w:r w:rsidRPr="006D3C51">
        <w:rPr>
          <w:color w:val="000000" w:themeColor="text1"/>
        </w:rPr>
        <w:t xml:space="preserve"> UYGULANAN İDARİ PARA CEZALARI VE ALINAN ÖNLEMLER</w:t>
      </w:r>
      <w:bookmarkEnd w:id="19"/>
    </w:p>
    <w:p w:rsidR="008408F9" w:rsidRPr="006D3C51" w:rsidRDefault="008408F9" w:rsidP="006D3C51">
      <w:pPr>
        <w:pStyle w:val="Balk1"/>
        <w:numPr>
          <w:ilvl w:val="0"/>
          <w:numId w:val="0"/>
        </w:numPr>
        <w:ind w:left="708"/>
        <w:rPr>
          <w:color w:val="000000" w:themeColor="text1"/>
        </w:rPr>
      </w:pPr>
    </w:p>
    <w:p w:rsidR="008408F9" w:rsidRPr="006D3C51" w:rsidRDefault="008408F9" w:rsidP="006D3C51">
      <w:pPr>
        <w:pStyle w:val="Balk1"/>
        <w:numPr>
          <w:ilvl w:val="0"/>
          <w:numId w:val="34"/>
        </w:numPr>
        <w:rPr>
          <w:color w:val="000000" w:themeColor="text1"/>
        </w:rPr>
      </w:pPr>
      <w:bookmarkStart w:id="20" w:name="_Toc4892870"/>
      <w:r w:rsidRPr="006D3C51">
        <w:rPr>
          <w:color w:val="000000" w:themeColor="text1"/>
        </w:rPr>
        <w:t>İDARİ PARA CEZALARI</w:t>
      </w:r>
      <w:bookmarkEnd w:id="20"/>
    </w:p>
    <w:p w:rsidR="008408F9" w:rsidRPr="008408F9" w:rsidRDefault="008408F9" w:rsidP="00BE41A3">
      <w:pPr>
        <w:ind w:firstLine="709"/>
        <w:rPr>
          <w:color w:val="000000" w:themeColor="text1"/>
        </w:rPr>
      </w:pPr>
    </w:p>
    <w:p w:rsidR="008408F9" w:rsidRDefault="00E40725" w:rsidP="00BE41A3">
      <w:pPr>
        <w:spacing w:after="240"/>
        <w:jc w:val="both"/>
        <w:rPr>
          <w:bCs/>
          <w:color w:val="000000" w:themeColor="text1"/>
        </w:rPr>
      </w:pPr>
      <w:r>
        <w:rPr>
          <w:noProof/>
          <w:lang w:eastAsia="tr-TR"/>
        </w:rPr>
        <w:lastRenderedPageBreak/>
        <w:drawing>
          <wp:inline distT="0" distB="0" distL="0" distR="0">
            <wp:extent cx="6381750" cy="4276725"/>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7D6A" w:rsidRDefault="00385A81" w:rsidP="00BE41A3">
      <w:pPr>
        <w:spacing w:after="240"/>
        <w:jc w:val="both"/>
        <w:rPr>
          <w:bCs/>
          <w:color w:val="000000" w:themeColor="text1"/>
        </w:rPr>
      </w:pPr>
      <w:r>
        <w:rPr>
          <w:noProof/>
          <w:lang w:eastAsia="tr-TR"/>
        </w:rPr>
        <w:drawing>
          <wp:inline distT="0" distB="0" distL="0" distR="0">
            <wp:extent cx="6343650" cy="3409950"/>
            <wp:effectExtent l="57150" t="57150" r="19050" b="19050"/>
            <wp:docPr id="3077" name="Grafik 30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7582A" w:rsidRPr="008408F9" w:rsidRDefault="0087582A" w:rsidP="00BE41A3">
      <w:pPr>
        <w:spacing w:after="240"/>
        <w:ind w:firstLine="709"/>
        <w:jc w:val="both"/>
        <w:rPr>
          <w:bCs/>
          <w:color w:val="000000" w:themeColor="text1"/>
        </w:rPr>
      </w:pPr>
    </w:p>
    <w:p w:rsidR="00193601" w:rsidRDefault="003630E4" w:rsidP="00BE41A3">
      <w:pPr>
        <w:jc w:val="both"/>
        <w:rPr>
          <w:bCs/>
          <w:color w:val="000000" w:themeColor="text1"/>
        </w:rPr>
      </w:pPr>
      <w:r>
        <w:rPr>
          <w:noProof/>
          <w:lang w:eastAsia="tr-TR"/>
        </w:rPr>
        <w:lastRenderedPageBreak/>
        <w:drawing>
          <wp:inline distT="0" distB="0" distL="0" distR="0">
            <wp:extent cx="6174890" cy="5013064"/>
            <wp:effectExtent l="0" t="0" r="0" b="0"/>
            <wp:docPr id="56" name="Grafik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A11F2" w:rsidRDefault="009A11F2" w:rsidP="00BE41A3">
      <w:pPr>
        <w:ind w:firstLine="709"/>
        <w:jc w:val="both"/>
        <w:rPr>
          <w:bCs/>
          <w:color w:val="000000" w:themeColor="text1"/>
        </w:rPr>
      </w:pPr>
    </w:p>
    <w:p w:rsidR="006D3C51" w:rsidRDefault="006D3C51" w:rsidP="00307520">
      <w:pPr>
        <w:ind w:firstLine="709"/>
        <w:jc w:val="both"/>
        <w:rPr>
          <w:bCs/>
          <w:color w:val="000000" w:themeColor="text1"/>
        </w:rPr>
      </w:pPr>
    </w:p>
    <w:p w:rsidR="00CC3128" w:rsidRPr="008B2319" w:rsidRDefault="008408F9" w:rsidP="00307520">
      <w:pPr>
        <w:ind w:firstLine="709"/>
        <w:jc w:val="both"/>
        <w:rPr>
          <w:bCs/>
          <w:color w:val="000000" w:themeColor="text1"/>
        </w:rPr>
      </w:pPr>
      <w:r w:rsidRPr="008408F9">
        <w:rPr>
          <w:bCs/>
          <w:color w:val="000000" w:themeColor="text1"/>
        </w:rPr>
        <w:t xml:space="preserve">Yıllar itibarıyla bakıldığında, </w:t>
      </w:r>
      <w:r w:rsidR="00106DF4" w:rsidRPr="008408F9">
        <w:rPr>
          <w:bCs/>
          <w:color w:val="000000" w:themeColor="text1"/>
        </w:rPr>
        <w:t>201</w:t>
      </w:r>
      <w:r w:rsidR="00F53F80">
        <w:rPr>
          <w:bCs/>
          <w:color w:val="000000" w:themeColor="text1"/>
        </w:rPr>
        <w:t>9</w:t>
      </w:r>
      <w:r w:rsidR="00106DF4" w:rsidRPr="008408F9">
        <w:rPr>
          <w:bCs/>
          <w:color w:val="000000" w:themeColor="text1"/>
        </w:rPr>
        <w:t xml:space="preserve"> yılında </w:t>
      </w:r>
      <w:r w:rsidRPr="008408F9">
        <w:rPr>
          <w:bCs/>
          <w:color w:val="000000" w:themeColor="text1"/>
        </w:rPr>
        <w:t>uygunsuz</w:t>
      </w:r>
      <w:r w:rsidR="00307520">
        <w:rPr>
          <w:bCs/>
          <w:color w:val="000000" w:themeColor="text1"/>
        </w:rPr>
        <w:t xml:space="preserve"> ve </w:t>
      </w:r>
      <w:r w:rsidR="00307520" w:rsidRPr="008408F9">
        <w:rPr>
          <w:bCs/>
          <w:color w:val="000000" w:themeColor="text1"/>
        </w:rPr>
        <w:t>güvensiz</w:t>
      </w:r>
      <w:r w:rsidRPr="008408F9">
        <w:rPr>
          <w:bCs/>
          <w:color w:val="000000" w:themeColor="text1"/>
        </w:rPr>
        <w:t xml:space="preserve"> ürünler için uygulanan idari para cezalarının</w:t>
      </w:r>
      <w:r w:rsidR="00542E6A">
        <w:rPr>
          <w:bCs/>
          <w:color w:val="000000" w:themeColor="text1"/>
        </w:rPr>
        <w:t xml:space="preserve"> (İPC)</w:t>
      </w:r>
      <w:r w:rsidR="00D31718">
        <w:rPr>
          <w:bCs/>
          <w:color w:val="000000" w:themeColor="text1"/>
        </w:rPr>
        <w:t xml:space="preserve"> </w:t>
      </w:r>
      <w:r w:rsidR="00106DF4">
        <w:rPr>
          <w:bCs/>
          <w:color w:val="000000" w:themeColor="text1"/>
        </w:rPr>
        <w:t xml:space="preserve">arttığı görülmektedir. Diğer taraftan uygulanan İPC </w:t>
      </w:r>
      <w:r w:rsidR="00307520">
        <w:rPr>
          <w:bCs/>
          <w:color w:val="000000" w:themeColor="text1"/>
        </w:rPr>
        <w:t>toplamı 201</w:t>
      </w:r>
      <w:r w:rsidR="00F53F80">
        <w:rPr>
          <w:bCs/>
          <w:color w:val="000000" w:themeColor="text1"/>
        </w:rPr>
        <w:t>9</w:t>
      </w:r>
      <w:r w:rsidR="00106DF4">
        <w:rPr>
          <w:bCs/>
          <w:color w:val="000000" w:themeColor="text1"/>
        </w:rPr>
        <w:t xml:space="preserve"> </w:t>
      </w:r>
      <w:r w:rsidR="00106DF4" w:rsidRPr="00D31718">
        <w:rPr>
          <w:bCs/>
          <w:color w:val="000000" w:themeColor="text1"/>
        </w:rPr>
        <w:t>senesinde bir önceki yıla göre</w:t>
      </w:r>
      <w:r w:rsidR="00307520" w:rsidRPr="00D31718">
        <w:rPr>
          <w:bCs/>
          <w:color w:val="000000" w:themeColor="text1"/>
        </w:rPr>
        <w:t xml:space="preserve"> ciddi bir değişim göster</w:t>
      </w:r>
      <w:r w:rsidR="00852023" w:rsidRPr="00D31718">
        <w:rPr>
          <w:bCs/>
          <w:color w:val="000000" w:themeColor="text1"/>
        </w:rPr>
        <w:t>miş ve</w:t>
      </w:r>
      <w:r w:rsidR="00307520" w:rsidRPr="00D31718">
        <w:rPr>
          <w:bCs/>
          <w:color w:val="000000" w:themeColor="text1"/>
        </w:rPr>
        <w:t xml:space="preserve"> yaklaşık %</w:t>
      </w:r>
      <w:r w:rsidR="00AB0F66" w:rsidRPr="00D31718">
        <w:rPr>
          <w:bCs/>
          <w:color w:val="000000" w:themeColor="text1"/>
        </w:rPr>
        <w:t>2</w:t>
      </w:r>
      <w:r w:rsidR="00307520" w:rsidRPr="00D31718">
        <w:rPr>
          <w:bCs/>
          <w:color w:val="000000" w:themeColor="text1"/>
        </w:rPr>
        <w:t>0 oranında artarak</w:t>
      </w:r>
      <w:r w:rsidR="00D31718" w:rsidRPr="00D31718">
        <w:rPr>
          <w:bCs/>
          <w:color w:val="000000" w:themeColor="text1"/>
        </w:rPr>
        <w:t xml:space="preserve"> </w:t>
      </w:r>
      <w:r w:rsidR="00E42E14" w:rsidRPr="00D31718">
        <w:rPr>
          <w:bCs/>
          <w:color w:val="000000" w:themeColor="text1"/>
        </w:rPr>
        <w:t>1</w:t>
      </w:r>
      <w:r w:rsidR="00AB0F66" w:rsidRPr="00D31718">
        <w:rPr>
          <w:bCs/>
          <w:color w:val="000000" w:themeColor="text1"/>
        </w:rPr>
        <w:t>80.</w:t>
      </w:r>
      <w:r w:rsidR="00E40725" w:rsidRPr="00D31718">
        <w:rPr>
          <w:bCs/>
          <w:color w:val="000000" w:themeColor="text1"/>
        </w:rPr>
        <w:t>073.558</w:t>
      </w:r>
      <w:r w:rsidR="00D31718">
        <w:rPr>
          <w:bCs/>
          <w:color w:val="00B050"/>
        </w:rPr>
        <w:t xml:space="preserve"> </w:t>
      </w:r>
      <w:r w:rsidR="00E42E14" w:rsidRPr="008B2319">
        <w:rPr>
          <w:bCs/>
          <w:color w:val="000000" w:themeColor="text1"/>
        </w:rPr>
        <w:t xml:space="preserve">TL </w:t>
      </w:r>
      <w:r w:rsidR="00852023" w:rsidRPr="008B2319">
        <w:rPr>
          <w:bCs/>
          <w:color w:val="000000" w:themeColor="text1"/>
        </w:rPr>
        <w:t xml:space="preserve">olmuştur. </w:t>
      </w:r>
    </w:p>
    <w:p w:rsidR="00307520" w:rsidRPr="008B2319" w:rsidRDefault="00307520" w:rsidP="00307520">
      <w:pPr>
        <w:ind w:firstLine="709"/>
        <w:jc w:val="both"/>
        <w:rPr>
          <w:bCs/>
          <w:color w:val="000000" w:themeColor="text1"/>
        </w:rPr>
      </w:pPr>
    </w:p>
    <w:p w:rsidR="007E6123" w:rsidRPr="00CB2464" w:rsidRDefault="00852023" w:rsidP="00BE41A3">
      <w:pPr>
        <w:spacing w:after="240"/>
        <w:ind w:firstLine="709"/>
        <w:jc w:val="both"/>
        <w:rPr>
          <w:color w:val="000000"/>
        </w:rPr>
      </w:pPr>
      <w:r w:rsidRPr="008B2319">
        <w:rPr>
          <w:color w:val="000000" w:themeColor="text1"/>
        </w:rPr>
        <w:t xml:space="preserve">Piyasaya teknik mevzuatına uygun ürün arz etmek, yapısı gereği bu ürünün üreticilerine </w:t>
      </w:r>
      <w:r w:rsidR="001017D2" w:rsidRPr="008B2319">
        <w:rPr>
          <w:color w:val="000000" w:themeColor="text1"/>
        </w:rPr>
        <w:t>belirli bir maddi yük oluşturmaktadır. Diğer taraftan u</w:t>
      </w:r>
      <w:r w:rsidR="00491164" w:rsidRPr="008B2319">
        <w:rPr>
          <w:color w:val="000000" w:themeColor="text1"/>
        </w:rPr>
        <w:t xml:space="preserve">ygunsuz veya güvensiz ürünlerin </w:t>
      </w:r>
      <w:r w:rsidR="00F921F7" w:rsidRPr="008B2319">
        <w:rPr>
          <w:color w:val="000000" w:themeColor="text1"/>
        </w:rPr>
        <w:t>imalatçıları</w:t>
      </w:r>
      <w:r w:rsidR="00491164" w:rsidRPr="008B2319">
        <w:rPr>
          <w:color w:val="000000" w:themeColor="text1"/>
        </w:rPr>
        <w:t>, dağıtıcıları veya ithalatçıl</w:t>
      </w:r>
      <w:r w:rsidR="00C917E6" w:rsidRPr="008B2319">
        <w:rPr>
          <w:color w:val="000000" w:themeColor="text1"/>
        </w:rPr>
        <w:t>arı olan iktisadi işletmeciler</w:t>
      </w:r>
      <w:r w:rsidR="00491164" w:rsidRPr="008B2319">
        <w:rPr>
          <w:color w:val="000000" w:themeColor="text1"/>
        </w:rPr>
        <w:t xml:space="preserve">, </w:t>
      </w:r>
      <w:r w:rsidR="001017D2" w:rsidRPr="008B2319">
        <w:rPr>
          <w:color w:val="000000" w:themeColor="text1"/>
        </w:rPr>
        <w:t>bu</w:t>
      </w:r>
      <w:r w:rsidR="00491164" w:rsidRPr="008B2319">
        <w:rPr>
          <w:color w:val="000000" w:themeColor="text1"/>
        </w:rPr>
        <w:t xml:space="preserve"> maliyete katlanmadan piyasaya </w:t>
      </w:r>
      <w:r w:rsidR="001017D2" w:rsidRPr="008B2319">
        <w:rPr>
          <w:color w:val="000000" w:themeColor="text1"/>
        </w:rPr>
        <w:t xml:space="preserve">ürün </w:t>
      </w:r>
      <w:r w:rsidR="00491164" w:rsidRPr="008B2319">
        <w:rPr>
          <w:color w:val="000000" w:themeColor="text1"/>
        </w:rPr>
        <w:t xml:space="preserve">arz </w:t>
      </w:r>
      <w:r w:rsidR="001017D2" w:rsidRPr="008B2319">
        <w:rPr>
          <w:color w:val="000000" w:themeColor="text1"/>
        </w:rPr>
        <w:t xml:space="preserve">etmekte ve sektörde haksız rekabete yol </w:t>
      </w:r>
      <w:r w:rsidR="001017D2" w:rsidRPr="000A0093">
        <w:rPr>
          <w:color w:val="000000"/>
        </w:rPr>
        <w:t xml:space="preserve">açmaktadır. Piyasalarda uygunsuz/güvensiz ürün arzından kaynaklı haksız rekabetin önüne geçilmesi amacıyla çeşitli PGD kuruluşlarının kullanabileceği en önemli araç </w:t>
      </w:r>
      <w:proofErr w:type="spellStart"/>
      <w:r w:rsidR="001017D2" w:rsidRPr="000A0093">
        <w:rPr>
          <w:color w:val="000000"/>
        </w:rPr>
        <w:t>İPC’lerdir</w:t>
      </w:r>
      <w:proofErr w:type="spellEnd"/>
      <w:r w:rsidR="001017D2" w:rsidRPr="000A0093">
        <w:rPr>
          <w:color w:val="000000"/>
        </w:rPr>
        <w:t xml:space="preserve">. </w:t>
      </w:r>
      <w:r w:rsidR="00491164" w:rsidRPr="006A3CE9">
        <w:rPr>
          <w:color w:val="000000"/>
        </w:rPr>
        <w:t>4703 sayılı Kanun’un 5’inci maddesinde ürünlerin piyasaya arzında üreticilerin ve dağıtıcıların yükü</w:t>
      </w:r>
      <w:r w:rsidR="00E96AF7" w:rsidRPr="006A3CE9">
        <w:rPr>
          <w:color w:val="000000"/>
        </w:rPr>
        <w:t>mlülüklerine yer verilmekte, 12’nci</w:t>
      </w:r>
      <w:r w:rsidR="00491164" w:rsidRPr="006A3CE9">
        <w:rPr>
          <w:color w:val="000000"/>
        </w:rPr>
        <w:t xml:space="preserve"> maddesinde ise bu hükümlere aykırı hareket edilmesi halinde, uygulanacak para cezalarına yer verilmektedir. Söz konusu Kanun hükümleri çerçevesinde PGD kuruluşların</w:t>
      </w:r>
      <w:r w:rsidR="00F17D34" w:rsidRPr="006A3CE9">
        <w:rPr>
          <w:color w:val="000000"/>
        </w:rPr>
        <w:t>ın</w:t>
      </w:r>
      <w:r w:rsidR="00491164" w:rsidRPr="00B3490E">
        <w:rPr>
          <w:color w:val="000000"/>
        </w:rPr>
        <w:t xml:space="preserve"> uygunsuz ve güvensiz olduğu tespit edilen tüm ürünlere </w:t>
      </w:r>
      <w:r w:rsidR="00AE030D" w:rsidRPr="00B3490E">
        <w:rPr>
          <w:color w:val="000000"/>
        </w:rPr>
        <w:t>İPC</w:t>
      </w:r>
      <w:r w:rsidR="00491164" w:rsidRPr="00B3490E">
        <w:rPr>
          <w:color w:val="000000"/>
        </w:rPr>
        <w:t xml:space="preserve"> uygulamaları </w:t>
      </w:r>
      <w:proofErr w:type="spellStart"/>
      <w:proofErr w:type="gramStart"/>
      <w:r w:rsidR="00491164" w:rsidRPr="00B3490E">
        <w:rPr>
          <w:color w:val="000000"/>
        </w:rPr>
        <w:t>gerekmektedir.</w:t>
      </w:r>
      <w:r w:rsidR="00444971" w:rsidRPr="00CB2464">
        <w:rPr>
          <w:color w:val="000000"/>
        </w:rPr>
        <w:t>Ancak</w:t>
      </w:r>
      <w:proofErr w:type="spellEnd"/>
      <w:proofErr w:type="gramEnd"/>
      <w:r w:rsidR="007E6123" w:rsidRPr="00CB2464">
        <w:rPr>
          <w:color w:val="000000"/>
        </w:rPr>
        <w:t xml:space="preserve"> PGD kuruluşları</w:t>
      </w:r>
      <w:r w:rsidR="00AE030D" w:rsidRPr="00CB2464">
        <w:rPr>
          <w:color w:val="000000"/>
        </w:rPr>
        <w:t xml:space="preserve"> tarafından, </w:t>
      </w:r>
      <w:r w:rsidR="007E6123" w:rsidRPr="00CB2464">
        <w:rPr>
          <w:color w:val="000000"/>
        </w:rPr>
        <w:t xml:space="preserve">ilgili Yönetmeliklerine </w:t>
      </w:r>
      <w:proofErr w:type="spellStart"/>
      <w:r w:rsidR="007E6123" w:rsidRPr="00CB2464">
        <w:rPr>
          <w:color w:val="000000"/>
        </w:rPr>
        <w:t>göre</w:t>
      </w:r>
      <w:r w:rsidR="00AE030D" w:rsidRPr="00CB2464">
        <w:rPr>
          <w:color w:val="000000"/>
        </w:rPr>
        <w:t>,uygunsuz</w:t>
      </w:r>
      <w:proofErr w:type="spellEnd"/>
      <w:r w:rsidR="00AE030D" w:rsidRPr="00CB2464">
        <w:rPr>
          <w:color w:val="000000"/>
        </w:rPr>
        <w:t xml:space="preserve"> ürünler için </w:t>
      </w:r>
      <w:r w:rsidR="007E6123" w:rsidRPr="00CB2464">
        <w:rPr>
          <w:color w:val="000000"/>
        </w:rPr>
        <w:t xml:space="preserve">öncelikle </w:t>
      </w:r>
      <w:r w:rsidR="00AE030D" w:rsidRPr="00CB2464">
        <w:rPr>
          <w:color w:val="000000"/>
        </w:rPr>
        <w:t xml:space="preserve">iktisadi işletmeciye </w:t>
      </w:r>
      <w:r w:rsidR="007E6123" w:rsidRPr="00CB2464">
        <w:rPr>
          <w:color w:val="000000"/>
        </w:rPr>
        <w:t>düzelt</w:t>
      </w:r>
      <w:r w:rsidR="00AE030D" w:rsidRPr="00CB2464">
        <w:rPr>
          <w:color w:val="000000"/>
        </w:rPr>
        <w:t xml:space="preserve">ici faaliyette bulunması için </w:t>
      </w:r>
      <w:proofErr w:type="spellStart"/>
      <w:r w:rsidR="00AE030D" w:rsidRPr="00CB2464">
        <w:rPr>
          <w:color w:val="000000"/>
        </w:rPr>
        <w:t>süreverildiği</w:t>
      </w:r>
      <w:proofErr w:type="spellEnd"/>
      <w:r w:rsidR="007E6123" w:rsidRPr="00CB2464">
        <w:rPr>
          <w:color w:val="000000"/>
        </w:rPr>
        <w:t xml:space="preserve">, </w:t>
      </w:r>
      <w:r w:rsidR="00AE030D" w:rsidRPr="00CB2464">
        <w:rPr>
          <w:color w:val="000000"/>
        </w:rPr>
        <w:t>bu</w:t>
      </w:r>
      <w:r w:rsidR="007E6123" w:rsidRPr="00CB2464">
        <w:rPr>
          <w:color w:val="000000"/>
        </w:rPr>
        <w:t xml:space="preserve"> süre neticesinde uygun hale getirilen ürünlere ceza </w:t>
      </w:r>
      <w:proofErr w:type="spellStart"/>
      <w:r w:rsidR="00AE030D" w:rsidRPr="00CB2464">
        <w:rPr>
          <w:color w:val="000000"/>
        </w:rPr>
        <w:t>uygulanmadığı,İPC’nin</w:t>
      </w:r>
      <w:r w:rsidR="007E6123" w:rsidRPr="00CB2464">
        <w:rPr>
          <w:color w:val="000000"/>
        </w:rPr>
        <w:t>ancak</w:t>
      </w:r>
      <w:proofErr w:type="spellEnd"/>
      <w:r w:rsidR="007E6123" w:rsidRPr="00CB2464">
        <w:rPr>
          <w:color w:val="000000"/>
        </w:rPr>
        <w:t xml:space="preserve"> süre sonunda uygunsuzluğ</w:t>
      </w:r>
      <w:r w:rsidR="00AE030D" w:rsidRPr="00CB2464">
        <w:rPr>
          <w:color w:val="000000"/>
        </w:rPr>
        <w:t xml:space="preserve">u giderilmeyen ürünler için uygulandığı </w:t>
      </w:r>
      <w:r w:rsidR="00AB53A8" w:rsidRPr="00CB2464">
        <w:rPr>
          <w:color w:val="000000"/>
        </w:rPr>
        <w:t>belirtilmektedir</w:t>
      </w:r>
      <w:r w:rsidR="00AE030D" w:rsidRPr="00CB2464">
        <w:rPr>
          <w:color w:val="000000"/>
        </w:rPr>
        <w:t xml:space="preserve">. Güvensiz ürünlere yönelik </w:t>
      </w:r>
      <w:proofErr w:type="spellStart"/>
      <w:r w:rsidR="00AE030D" w:rsidRPr="00CB2464">
        <w:rPr>
          <w:color w:val="000000"/>
        </w:rPr>
        <w:t>İPC’ler</w:t>
      </w:r>
      <w:proofErr w:type="spellEnd"/>
      <w:r w:rsidR="00AE030D" w:rsidRPr="00CB2464">
        <w:rPr>
          <w:color w:val="000000"/>
        </w:rPr>
        <w:t xml:space="preserve"> için ise kuruluşların ilgili PGD Yönetmeliklerinde benzer bir süre tanıma uygulamasına yer verilmemektedir.</w:t>
      </w:r>
    </w:p>
    <w:p w:rsidR="008408F9" w:rsidRPr="00CB2464" w:rsidRDefault="008B0BE6" w:rsidP="00BE41A3">
      <w:pPr>
        <w:spacing w:after="240"/>
        <w:ind w:firstLine="709"/>
        <w:jc w:val="both"/>
        <w:rPr>
          <w:bCs/>
          <w:color w:val="000000" w:themeColor="text1"/>
        </w:rPr>
      </w:pPr>
      <w:r>
        <w:rPr>
          <w:color w:val="000000"/>
        </w:rPr>
        <w:lastRenderedPageBreak/>
        <w:t>201</w:t>
      </w:r>
      <w:r w:rsidR="00AB0F66">
        <w:rPr>
          <w:color w:val="000000"/>
        </w:rPr>
        <w:t>9</w:t>
      </w:r>
      <w:r w:rsidR="001017D2">
        <w:rPr>
          <w:color w:val="000000"/>
        </w:rPr>
        <w:t xml:space="preserve"> yılı verileri ele alındığında, </w:t>
      </w:r>
      <w:r w:rsidR="000E6C8D" w:rsidRPr="00CB2464">
        <w:rPr>
          <w:color w:val="000000"/>
        </w:rPr>
        <w:t xml:space="preserve">PGD kapsamında uygulanan </w:t>
      </w:r>
      <w:proofErr w:type="spellStart"/>
      <w:r w:rsidR="000E6C8D" w:rsidRPr="00CB2464">
        <w:rPr>
          <w:color w:val="000000"/>
        </w:rPr>
        <w:t>İPC’ler</w:t>
      </w:r>
      <w:proofErr w:type="spellEnd"/>
      <w:r w:rsidR="000E6C8D" w:rsidRPr="00CB2464">
        <w:rPr>
          <w:color w:val="000000"/>
        </w:rPr>
        <w:t xml:space="preserve"> ile ilgili aşağıdaki hususlar öne çıkmaktadır: </w:t>
      </w:r>
    </w:p>
    <w:p w:rsidR="002B6F79" w:rsidRPr="00C31232" w:rsidRDefault="008408F9" w:rsidP="006D23C8">
      <w:pPr>
        <w:numPr>
          <w:ilvl w:val="0"/>
          <w:numId w:val="13"/>
        </w:numPr>
        <w:spacing w:after="240"/>
        <w:ind w:left="0" w:firstLine="0"/>
        <w:jc w:val="both"/>
        <w:rPr>
          <w:bCs/>
          <w:color w:val="000000" w:themeColor="text1"/>
        </w:rPr>
      </w:pPr>
      <w:r w:rsidRPr="002B6F79">
        <w:rPr>
          <w:bCs/>
          <w:color w:val="000000" w:themeColor="text1"/>
        </w:rPr>
        <w:t>STB tarafından</w:t>
      </w:r>
      <w:r w:rsidR="00D31718">
        <w:rPr>
          <w:bCs/>
          <w:color w:val="000000" w:themeColor="text1"/>
        </w:rPr>
        <w:t xml:space="preserve"> </w:t>
      </w:r>
      <w:r w:rsidR="00112C45" w:rsidRPr="002B6F79">
        <w:rPr>
          <w:bCs/>
          <w:color w:val="000000" w:themeColor="text1"/>
        </w:rPr>
        <w:t xml:space="preserve">uygulanan </w:t>
      </w:r>
      <w:proofErr w:type="spellStart"/>
      <w:r w:rsidR="00112C45" w:rsidRPr="002B6F79">
        <w:rPr>
          <w:bCs/>
          <w:color w:val="000000" w:themeColor="text1"/>
        </w:rPr>
        <w:t>İPC’ler</w:t>
      </w:r>
      <w:proofErr w:type="spellEnd"/>
      <w:r w:rsidR="00D31718">
        <w:rPr>
          <w:bCs/>
          <w:color w:val="000000" w:themeColor="text1"/>
        </w:rPr>
        <w:t xml:space="preserve"> </w:t>
      </w:r>
      <w:r w:rsidR="002B6F79" w:rsidRPr="002B6F79">
        <w:rPr>
          <w:bCs/>
          <w:color w:val="000000" w:themeColor="text1"/>
        </w:rPr>
        <w:t xml:space="preserve">2018 yılında 12.067.949 TL </w:t>
      </w:r>
      <w:r w:rsidR="00035846" w:rsidRPr="002B6F79">
        <w:rPr>
          <w:bCs/>
          <w:color w:val="000000" w:themeColor="text1"/>
        </w:rPr>
        <w:t>iken</w:t>
      </w:r>
      <w:r w:rsidR="00D31718">
        <w:rPr>
          <w:bCs/>
          <w:color w:val="000000" w:themeColor="text1"/>
        </w:rPr>
        <w:t xml:space="preserve"> </w:t>
      </w:r>
      <w:r w:rsidR="00035846" w:rsidRPr="002B6F79">
        <w:rPr>
          <w:bCs/>
          <w:color w:val="000000" w:themeColor="text1"/>
        </w:rPr>
        <w:t>201</w:t>
      </w:r>
      <w:r w:rsidR="002B6F79" w:rsidRPr="002B6F79">
        <w:rPr>
          <w:bCs/>
          <w:color w:val="000000" w:themeColor="text1"/>
        </w:rPr>
        <w:t>9</w:t>
      </w:r>
      <w:r w:rsidR="00035846" w:rsidRPr="002B6F79">
        <w:rPr>
          <w:bCs/>
          <w:color w:val="000000" w:themeColor="text1"/>
        </w:rPr>
        <w:t xml:space="preserve"> yılında </w:t>
      </w:r>
      <w:r w:rsidR="002B6F79" w:rsidRPr="002B6F79">
        <w:rPr>
          <w:bCs/>
          <w:color w:val="000000" w:themeColor="text1"/>
        </w:rPr>
        <w:t>11.346.714</w:t>
      </w:r>
      <w:r w:rsidR="00112C45" w:rsidRPr="002B6F79">
        <w:rPr>
          <w:bCs/>
          <w:color w:val="000000" w:themeColor="text1"/>
        </w:rPr>
        <w:t xml:space="preserve"> TL olmuştur.</w:t>
      </w:r>
      <w:r w:rsidR="002B6F79" w:rsidRPr="002B6F79">
        <w:rPr>
          <w:bCs/>
          <w:color w:val="000000" w:themeColor="text1"/>
        </w:rPr>
        <w:t xml:space="preserve"> Bakanlıkça güvensiz bulunan 15</w:t>
      </w:r>
      <w:r w:rsidR="00035846" w:rsidRPr="002B6F79">
        <w:rPr>
          <w:bCs/>
          <w:color w:val="000000" w:themeColor="text1"/>
        </w:rPr>
        <w:t>9</w:t>
      </w:r>
      <w:r w:rsidR="002B6F79" w:rsidRPr="002B6F79">
        <w:rPr>
          <w:bCs/>
          <w:color w:val="000000" w:themeColor="text1"/>
        </w:rPr>
        <w:t xml:space="preserve"> ürün partisinin</w:t>
      </w:r>
      <w:r w:rsidR="00D31718">
        <w:rPr>
          <w:bCs/>
          <w:color w:val="000000" w:themeColor="text1"/>
        </w:rPr>
        <w:t xml:space="preserve"> </w:t>
      </w:r>
      <w:r w:rsidR="002B6F79" w:rsidRPr="002B6F79">
        <w:rPr>
          <w:bCs/>
          <w:color w:val="000000" w:themeColor="text1"/>
        </w:rPr>
        <w:t>53</w:t>
      </w:r>
      <w:r w:rsidR="00035846" w:rsidRPr="002B6F79">
        <w:rPr>
          <w:bCs/>
          <w:color w:val="000000" w:themeColor="text1"/>
        </w:rPr>
        <w:t>’ü</w:t>
      </w:r>
      <w:r w:rsidR="00112C45" w:rsidRPr="002B6F79">
        <w:rPr>
          <w:bCs/>
          <w:color w:val="000000" w:themeColor="text1"/>
        </w:rPr>
        <w:t>ne</w:t>
      </w:r>
      <w:r w:rsidR="001C10D2" w:rsidRPr="002B6F79">
        <w:rPr>
          <w:bCs/>
          <w:color w:val="000000" w:themeColor="text1"/>
        </w:rPr>
        <w:t xml:space="preserve"> (%</w:t>
      </w:r>
      <w:r w:rsidR="002B6F79" w:rsidRPr="002B6F79">
        <w:rPr>
          <w:bCs/>
          <w:color w:val="000000" w:themeColor="text1"/>
        </w:rPr>
        <w:t>33</w:t>
      </w:r>
      <w:r w:rsidR="001C10D2" w:rsidRPr="002B6F79">
        <w:rPr>
          <w:bCs/>
          <w:color w:val="000000" w:themeColor="text1"/>
        </w:rPr>
        <w:t>)</w:t>
      </w:r>
      <w:r w:rsidR="00035846" w:rsidRPr="002B6F79">
        <w:rPr>
          <w:bCs/>
          <w:color w:val="000000" w:themeColor="text1"/>
        </w:rPr>
        <w:t xml:space="preserve">, uygunsuz bulunan </w:t>
      </w:r>
      <w:r w:rsidR="002B6F79" w:rsidRPr="002B6F79">
        <w:rPr>
          <w:bCs/>
          <w:color w:val="000000" w:themeColor="text1"/>
        </w:rPr>
        <w:t>18.682</w:t>
      </w:r>
      <w:r w:rsidR="00112C45" w:rsidRPr="002B6F79">
        <w:rPr>
          <w:bCs/>
          <w:color w:val="000000" w:themeColor="text1"/>
        </w:rPr>
        <w:t xml:space="preserve"> ürün partisinin </w:t>
      </w:r>
      <w:r w:rsidR="001C10D2" w:rsidRPr="002B6F79">
        <w:rPr>
          <w:bCs/>
          <w:color w:val="000000" w:themeColor="text1"/>
        </w:rPr>
        <w:t xml:space="preserve">ise </w:t>
      </w:r>
      <w:r w:rsidR="002B6F79" w:rsidRPr="002B6F79">
        <w:rPr>
          <w:bCs/>
          <w:color w:val="000000" w:themeColor="text1"/>
        </w:rPr>
        <w:t>2.100’üne</w:t>
      </w:r>
      <w:r w:rsidR="00035846" w:rsidRPr="002B6F79">
        <w:rPr>
          <w:bCs/>
          <w:color w:val="000000" w:themeColor="text1"/>
        </w:rPr>
        <w:t xml:space="preserve"> (%</w:t>
      </w:r>
      <w:r w:rsidR="002B6F79" w:rsidRPr="002B6F79">
        <w:rPr>
          <w:bCs/>
          <w:color w:val="000000" w:themeColor="text1"/>
        </w:rPr>
        <w:t>1</w:t>
      </w:r>
      <w:r w:rsidR="00035846" w:rsidRPr="002B6F79">
        <w:rPr>
          <w:bCs/>
          <w:color w:val="000000" w:themeColor="text1"/>
        </w:rPr>
        <w:t>1</w:t>
      </w:r>
      <w:r w:rsidR="001C10D2" w:rsidRPr="002B6F79">
        <w:rPr>
          <w:bCs/>
          <w:color w:val="000000" w:themeColor="text1"/>
        </w:rPr>
        <w:t xml:space="preserve">) </w:t>
      </w:r>
      <w:r w:rsidR="00542E6A" w:rsidRPr="002B6F79">
        <w:rPr>
          <w:bCs/>
          <w:color w:val="000000" w:themeColor="text1"/>
        </w:rPr>
        <w:t>İPC</w:t>
      </w:r>
      <w:r w:rsidR="001C10D2" w:rsidRPr="002B6F79">
        <w:rPr>
          <w:bCs/>
          <w:color w:val="000000" w:themeColor="text1"/>
        </w:rPr>
        <w:t xml:space="preserve"> uygulanmış</w:t>
      </w:r>
      <w:r w:rsidR="00041B25" w:rsidRPr="002B6F79">
        <w:rPr>
          <w:bCs/>
          <w:color w:val="000000" w:themeColor="text1"/>
        </w:rPr>
        <w:t xml:space="preserve">tır. </w:t>
      </w:r>
      <w:r w:rsidR="00477A35" w:rsidRPr="002B6F79">
        <w:rPr>
          <w:bCs/>
          <w:color w:val="000000" w:themeColor="text1"/>
        </w:rPr>
        <w:t>A</w:t>
      </w:r>
      <w:r w:rsidR="00041B25" w:rsidRPr="002B6F79">
        <w:rPr>
          <w:bCs/>
          <w:color w:val="000000" w:themeColor="text1"/>
        </w:rPr>
        <w:t>yrıca</w:t>
      </w:r>
      <w:r w:rsidR="00477A35" w:rsidRPr="002B6F79">
        <w:rPr>
          <w:bCs/>
          <w:color w:val="000000" w:themeColor="text1"/>
        </w:rPr>
        <w:t>,</w:t>
      </w:r>
      <w:r w:rsidR="00D31718">
        <w:rPr>
          <w:bCs/>
          <w:color w:val="000000" w:themeColor="text1"/>
        </w:rPr>
        <w:t xml:space="preserve"> </w:t>
      </w:r>
      <w:r w:rsidR="00041B25" w:rsidRPr="002B6F79">
        <w:rPr>
          <w:color w:val="000000" w:themeColor="text1"/>
        </w:rPr>
        <w:t>idari para cezası uygulama süreçleri</w:t>
      </w:r>
      <w:r w:rsidR="00477A35" w:rsidRPr="002B6F79">
        <w:rPr>
          <w:color w:val="000000" w:themeColor="text1"/>
        </w:rPr>
        <w:t>nin</w:t>
      </w:r>
      <w:r w:rsidR="00041B25" w:rsidRPr="002B6F79">
        <w:rPr>
          <w:color w:val="000000" w:themeColor="text1"/>
        </w:rPr>
        <w:t xml:space="preserve"> devam ettiği</w:t>
      </w:r>
      <w:r w:rsidR="00D31718">
        <w:rPr>
          <w:color w:val="000000" w:themeColor="text1"/>
        </w:rPr>
        <w:t xml:space="preserve"> </w:t>
      </w:r>
      <w:proofErr w:type="gramStart"/>
      <w:r w:rsidR="00477A35" w:rsidRPr="002B6F79">
        <w:rPr>
          <w:color w:val="000000" w:themeColor="text1"/>
        </w:rPr>
        <w:t>mezkur</w:t>
      </w:r>
      <w:proofErr w:type="gramEnd"/>
      <w:r w:rsidR="00477A35" w:rsidRPr="002B6F79">
        <w:rPr>
          <w:color w:val="000000" w:themeColor="text1"/>
        </w:rPr>
        <w:t xml:space="preserve"> Bakanlıkça</w:t>
      </w:r>
      <w:r w:rsidR="00041B25" w:rsidRPr="002B6F79">
        <w:rPr>
          <w:color w:val="000000" w:themeColor="text1"/>
        </w:rPr>
        <w:t xml:space="preserve"> belirtilmiştir. </w:t>
      </w:r>
      <w:r w:rsidR="007E5610" w:rsidRPr="002B6F79">
        <w:rPr>
          <w:color w:val="000000" w:themeColor="text1"/>
        </w:rPr>
        <w:t xml:space="preserve">Bununla birlikte, </w:t>
      </w:r>
      <w:r w:rsidR="002B6F79" w:rsidRPr="002B6F79">
        <w:rPr>
          <w:color w:val="000000" w:themeColor="text1"/>
        </w:rPr>
        <w:t xml:space="preserve">hazır ambalajlama ürün grubunda </w:t>
      </w:r>
      <w:r w:rsidR="002B6F79" w:rsidRPr="002B6F79">
        <w:rPr>
          <w:bCs/>
          <w:color w:val="000000" w:themeColor="text1"/>
        </w:rPr>
        <w:t xml:space="preserve">para cezası uygulanmayan ve etiket/işaret bilgileri mevzuata aykırı olan uygunsuz ürünlere düzeltici faaliyet süresi verildiği, sistemin yapısı gereği Hazır Ambalajlı Mamul ürünlerinde güvensizlik kavramı olmamasına rağmen bu bölüme zorunluluk gereği "0" yazıldığı bilgisi iletilmiştir. </w:t>
      </w:r>
      <w:proofErr w:type="gramStart"/>
      <w:r w:rsidR="002B6F79" w:rsidRPr="002B6F79">
        <w:rPr>
          <w:bCs/>
          <w:color w:val="000000" w:themeColor="text1"/>
        </w:rPr>
        <w:t xml:space="preserve">Petrol ve LPG ürünlerinde uygunsuz ürünlere EPDK tarafından idari para cezaları uygulandığı, ayrıca, akaryakıt ürünlerinin denetiminin yanı sıra 4.372 adet LPG istasyonunda lisans, sorumlu müdür çalıştırılması gibi hususlarda denetimler gerçekleştirildiği, söz konusu denetimlerde sorumlu müdür </w:t>
      </w:r>
      <w:r w:rsidR="002B6F79" w:rsidRPr="00C31232">
        <w:rPr>
          <w:bCs/>
          <w:color w:val="000000" w:themeColor="text1"/>
        </w:rPr>
        <w:t xml:space="preserve">çalıştırmayan 30 adet LPG istasyonu ile kaçak tüp </w:t>
      </w:r>
      <w:proofErr w:type="spellStart"/>
      <w:r w:rsidR="002B6F79" w:rsidRPr="00C31232">
        <w:rPr>
          <w:bCs/>
          <w:color w:val="000000" w:themeColor="text1"/>
        </w:rPr>
        <w:t>dolumuna</w:t>
      </w:r>
      <w:proofErr w:type="spellEnd"/>
      <w:r w:rsidR="002B6F79" w:rsidRPr="00C31232">
        <w:rPr>
          <w:bCs/>
          <w:color w:val="000000" w:themeColor="text1"/>
        </w:rPr>
        <w:t xml:space="preserve"> yarayan 5 adet aparat tespit edildiği ve 4 adet akaryakıt istasyonunda otomasyon sisteminin çalışmadığı bilgisi verilmiştir.</w:t>
      </w:r>
      <w:proofErr w:type="gramEnd"/>
    </w:p>
    <w:p w:rsidR="006312BC" w:rsidRPr="008B2319" w:rsidRDefault="00035846" w:rsidP="00B43EE7">
      <w:pPr>
        <w:numPr>
          <w:ilvl w:val="0"/>
          <w:numId w:val="13"/>
        </w:numPr>
        <w:spacing w:after="240"/>
        <w:ind w:left="0" w:firstLine="0"/>
        <w:jc w:val="both"/>
        <w:rPr>
          <w:bCs/>
          <w:color w:val="000000" w:themeColor="text1"/>
        </w:rPr>
      </w:pPr>
      <w:r w:rsidRPr="00C31232">
        <w:rPr>
          <w:bCs/>
          <w:color w:val="000000" w:themeColor="text1"/>
        </w:rPr>
        <w:t>A</w:t>
      </w:r>
      <w:r w:rsidR="006312BC" w:rsidRPr="00C31232">
        <w:rPr>
          <w:bCs/>
          <w:color w:val="000000" w:themeColor="text1"/>
        </w:rPr>
        <w:t>ÇSH</w:t>
      </w:r>
      <w:r w:rsidR="00FD30D3" w:rsidRPr="00C31232">
        <w:rPr>
          <w:bCs/>
          <w:color w:val="000000" w:themeColor="text1"/>
        </w:rPr>
        <w:t xml:space="preserve">B tarafından uygulanan </w:t>
      </w:r>
      <w:proofErr w:type="spellStart"/>
      <w:r w:rsidR="00E96AF7" w:rsidRPr="00C31232">
        <w:rPr>
          <w:bCs/>
          <w:color w:val="000000" w:themeColor="text1"/>
        </w:rPr>
        <w:t>İPC’ler</w:t>
      </w:r>
      <w:proofErr w:type="spellEnd"/>
      <w:r w:rsidR="00E96AF7" w:rsidRPr="00C31232">
        <w:rPr>
          <w:bCs/>
          <w:color w:val="000000" w:themeColor="text1"/>
        </w:rPr>
        <w:t xml:space="preserve">, </w:t>
      </w:r>
      <w:r w:rsidRPr="00C31232">
        <w:rPr>
          <w:bCs/>
          <w:color w:val="000000" w:themeColor="text1"/>
        </w:rPr>
        <w:t>201</w:t>
      </w:r>
      <w:r w:rsidR="00042431" w:rsidRPr="00C31232">
        <w:rPr>
          <w:bCs/>
          <w:color w:val="000000" w:themeColor="text1"/>
        </w:rPr>
        <w:t>9</w:t>
      </w:r>
      <w:r w:rsidR="001C10D2" w:rsidRPr="00C31232">
        <w:rPr>
          <w:bCs/>
          <w:color w:val="000000" w:themeColor="text1"/>
        </w:rPr>
        <w:t xml:space="preserve"> senesinde bir önceki seneye göre </w:t>
      </w:r>
      <w:r w:rsidR="00280AB4" w:rsidRPr="00C31232">
        <w:rPr>
          <w:bCs/>
          <w:color w:val="000000" w:themeColor="text1"/>
        </w:rPr>
        <w:t>%</w:t>
      </w:r>
      <w:r w:rsidR="00042431" w:rsidRPr="00C31232">
        <w:rPr>
          <w:bCs/>
          <w:color w:val="000000" w:themeColor="text1"/>
        </w:rPr>
        <w:t>25</w:t>
      </w:r>
      <w:r w:rsidR="00280AB4" w:rsidRPr="00C31232">
        <w:rPr>
          <w:bCs/>
          <w:color w:val="000000" w:themeColor="text1"/>
        </w:rPr>
        <w:t xml:space="preserve"> oranında </w:t>
      </w:r>
      <w:r w:rsidR="00042431" w:rsidRPr="00C31232">
        <w:rPr>
          <w:bCs/>
          <w:color w:val="000000" w:themeColor="text1"/>
        </w:rPr>
        <w:t>azal</w:t>
      </w:r>
      <w:r w:rsidR="001C10D2" w:rsidRPr="00C31232">
        <w:rPr>
          <w:bCs/>
          <w:color w:val="000000" w:themeColor="text1"/>
        </w:rPr>
        <w:t>mıştır.</w:t>
      </w:r>
      <w:r w:rsidR="00FD30D3" w:rsidRPr="00C31232">
        <w:rPr>
          <w:bCs/>
          <w:color w:val="000000" w:themeColor="text1"/>
        </w:rPr>
        <w:t xml:space="preserve"> Bakanlıkça </w:t>
      </w:r>
      <w:r w:rsidR="00280AB4" w:rsidRPr="00C31232">
        <w:rPr>
          <w:bCs/>
          <w:color w:val="000000" w:themeColor="text1"/>
        </w:rPr>
        <w:t>201</w:t>
      </w:r>
      <w:r w:rsidR="00475EF4" w:rsidRPr="00C31232">
        <w:rPr>
          <w:bCs/>
          <w:color w:val="000000" w:themeColor="text1"/>
        </w:rPr>
        <w:t>8</w:t>
      </w:r>
      <w:r w:rsidR="001C10D2" w:rsidRPr="00C31232">
        <w:rPr>
          <w:bCs/>
          <w:color w:val="000000" w:themeColor="text1"/>
        </w:rPr>
        <w:t xml:space="preserve"> senesinde </w:t>
      </w:r>
      <w:r w:rsidR="00280AB4" w:rsidRPr="00C31232">
        <w:rPr>
          <w:bCs/>
          <w:color w:val="000000" w:themeColor="text1"/>
        </w:rPr>
        <w:t xml:space="preserve">uygunsuz olduğu tespit edilen </w:t>
      </w:r>
      <w:r w:rsidR="00475EF4" w:rsidRPr="00C31232">
        <w:rPr>
          <w:bCs/>
          <w:color w:val="000000" w:themeColor="text1"/>
        </w:rPr>
        <w:t>28</w:t>
      </w:r>
      <w:r w:rsidR="00280AB4" w:rsidRPr="00C31232">
        <w:rPr>
          <w:bCs/>
          <w:color w:val="000000" w:themeColor="text1"/>
        </w:rPr>
        <w:t xml:space="preserve"> ürün partisine İPC uygulanmışken, 201</w:t>
      </w:r>
      <w:r w:rsidR="00475EF4" w:rsidRPr="00C31232">
        <w:rPr>
          <w:bCs/>
          <w:color w:val="000000" w:themeColor="text1"/>
        </w:rPr>
        <w:t>9</w:t>
      </w:r>
      <w:r w:rsidR="00280AB4" w:rsidRPr="00C31232">
        <w:rPr>
          <w:bCs/>
          <w:color w:val="000000" w:themeColor="text1"/>
        </w:rPr>
        <w:t xml:space="preserve"> senesinde </w:t>
      </w:r>
      <w:r w:rsidR="00475EF4" w:rsidRPr="00C31232">
        <w:rPr>
          <w:bCs/>
          <w:color w:val="000000" w:themeColor="text1"/>
        </w:rPr>
        <w:t xml:space="preserve">sayı </w:t>
      </w:r>
      <w:r w:rsidR="00C31232" w:rsidRPr="00C31232">
        <w:rPr>
          <w:bCs/>
          <w:color w:val="000000" w:themeColor="text1"/>
        </w:rPr>
        <w:t xml:space="preserve">30’a </w:t>
      </w:r>
      <w:proofErr w:type="spellStart"/>
      <w:proofErr w:type="gramStart"/>
      <w:r w:rsidR="00C31232" w:rsidRPr="00C31232">
        <w:rPr>
          <w:bCs/>
          <w:color w:val="000000" w:themeColor="text1"/>
        </w:rPr>
        <w:t>yükselmiştir</w:t>
      </w:r>
      <w:r w:rsidR="00475EF4" w:rsidRPr="00C31232">
        <w:rPr>
          <w:bCs/>
          <w:color w:val="000000" w:themeColor="text1"/>
        </w:rPr>
        <w:t>.</w:t>
      </w:r>
      <w:r w:rsidR="006312BC" w:rsidRPr="00C31232">
        <w:rPr>
          <w:bCs/>
          <w:color w:val="000000" w:themeColor="text1"/>
        </w:rPr>
        <w:t>Ayrıca</w:t>
      </w:r>
      <w:proofErr w:type="spellEnd"/>
      <w:proofErr w:type="gramEnd"/>
      <w:r w:rsidR="00E96AF7" w:rsidRPr="00C31232">
        <w:rPr>
          <w:bCs/>
          <w:color w:val="000000" w:themeColor="text1"/>
        </w:rPr>
        <w:t>,</w:t>
      </w:r>
      <w:r w:rsidR="006312BC" w:rsidRPr="00C31232">
        <w:rPr>
          <w:bCs/>
          <w:color w:val="000000" w:themeColor="text1"/>
        </w:rPr>
        <w:t xml:space="preserve"> A</w:t>
      </w:r>
      <w:r w:rsidR="001C10D2" w:rsidRPr="00C31232">
        <w:rPr>
          <w:bCs/>
          <w:color w:val="000000" w:themeColor="text1"/>
        </w:rPr>
        <w:t>ÇS</w:t>
      </w:r>
      <w:r w:rsidR="00B43EE7" w:rsidRPr="00C31232">
        <w:rPr>
          <w:bCs/>
          <w:color w:val="000000" w:themeColor="text1"/>
        </w:rPr>
        <w:t>H</w:t>
      </w:r>
      <w:r w:rsidR="001C10D2" w:rsidRPr="00C31232">
        <w:rPr>
          <w:bCs/>
          <w:color w:val="000000" w:themeColor="text1"/>
        </w:rPr>
        <w:t xml:space="preserve">B tarafından güvensiz olduğu tespit edilen </w:t>
      </w:r>
      <w:r w:rsidR="00C31232" w:rsidRPr="00C31232">
        <w:rPr>
          <w:bCs/>
          <w:color w:val="000000" w:themeColor="text1"/>
        </w:rPr>
        <w:t>2 ürün partisinin tamamına</w:t>
      </w:r>
      <w:r w:rsidR="001C10D2" w:rsidRPr="00C31232">
        <w:rPr>
          <w:bCs/>
          <w:color w:val="000000" w:themeColor="text1"/>
        </w:rPr>
        <w:t xml:space="preserve"> İPC uygula</w:t>
      </w:r>
      <w:r w:rsidR="006312BC" w:rsidRPr="00C31232">
        <w:rPr>
          <w:bCs/>
          <w:color w:val="000000" w:themeColor="text1"/>
        </w:rPr>
        <w:t xml:space="preserve">ndığı görülmektedir. </w:t>
      </w:r>
    </w:p>
    <w:p w:rsidR="002E12AE" w:rsidRDefault="006312BC" w:rsidP="002E12AE">
      <w:pPr>
        <w:numPr>
          <w:ilvl w:val="0"/>
          <w:numId w:val="13"/>
        </w:numPr>
        <w:spacing w:after="240"/>
        <w:ind w:left="0" w:firstLine="0"/>
        <w:jc w:val="both"/>
        <w:rPr>
          <w:bCs/>
          <w:color w:val="000000" w:themeColor="text1"/>
        </w:rPr>
      </w:pPr>
      <w:r w:rsidRPr="008B2319">
        <w:rPr>
          <w:bCs/>
          <w:color w:val="000000" w:themeColor="text1"/>
        </w:rPr>
        <w:t>TK</w:t>
      </w:r>
      <w:r w:rsidR="00C31232">
        <w:rPr>
          <w:bCs/>
          <w:color w:val="000000" w:themeColor="text1"/>
        </w:rPr>
        <w:t>PG</w:t>
      </w:r>
      <w:r w:rsidRPr="008B2319">
        <w:rPr>
          <w:bCs/>
          <w:color w:val="000000" w:themeColor="text1"/>
        </w:rPr>
        <w:t>GM</w:t>
      </w:r>
      <w:r w:rsidR="008408F9" w:rsidRPr="008B2319">
        <w:rPr>
          <w:bCs/>
          <w:color w:val="000000" w:themeColor="text1"/>
        </w:rPr>
        <w:t xml:space="preserve"> tarafından </w:t>
      </w:r>
      <w:r w:rsidR="00B14745" w:rsidRPr="008B2319">
        <w:rPr>
          <w:bCs/>
          <w:color w:val="000000" w:themeColor="text1"/>
        </w:rPr>
        <w:t>201</w:t>
      </w:r>
      <w:r w:rsidR="00C31232">
        <w:rPr>
          <w:bCs/>
          <w:color w:val="000000" w:themeColor="text1"/>
        </w:rPr>
        <w:t>9</w:t>
      </w:r>
      <w:r w:rsidR="00B14745" w:rsidRPr="008B2319">
        <w:rPr>
          <w:bCs/>
          <w:color w:val="000000" w:themeColor="text1"/>
        </w:rPr>
        <w:t xml:space="preserve"> senesinde </w:t>
      </w:r>
      <w:r w:rsidR="008408F9" w:rsidRPr="008B2319">
        <w:rPr>
          <w:bCs/>
          <w:color w:val="000000" w:themeColor="text1"/>
        </w:rPr>
        <w:t xml:space="preserve">uygulanan </w:t>
      </w:r>
      <w:r w:rsidR="00542E6A" w:rsidRPr="008B2319">
        <w:rPr>
          <w:bCs/>
          <w:color w:val="000000" w:themeColor="text1"/>
        </w:rPr>
        <w:t>İPC’lerde</w:t>
      </w:r>
      <w:r w:rsidR="005B343F" w:rsidRPr="008B2319">
        <w:rPr>
          <w:bCs/>
          <w:color w:val="000000" w:themeColor="text1"/>
        </w:rPr>
        <w:t>201</w:t>
      </w:r>
      <w:r w:rsidR="00C31232">
        <w:rPr>
          <w:bCs/>
          <w:color w:val="000000" w:themeColor="text1"/>
        </w:rPr>
        <w:t>8</w:t>
      </w:r>
      <w:r w:rsidR="005B343F" w:rsidRPr="008B2319">
        <w:rPr>
          <w:bCs/>
          <w:color w:val="000000" w:themeColor="text1"/>
        </w:rPr>
        <w:t>’</w:t>
      </w:r>
      <w:r w:rsidRPr="008B2319">
        <w:rPr>
          <w:bCs/>
          <w:color w:val="000000" w:themeColor="text1"/>
        </w:rPr>
        <w:t>e</w:t>
      </w:r>
      <w:r w:rsidR="005B343F" w:rsidRPr="008B2319">
        <w:rPr>
          <w:bCs/>
          <w:color w:val="000000" w:themeColor="text1"/>
        </w:rPr>
        <w:t xml:space="preserve"> kıyasla </w:t>
      </w:r>
      <w:r w:rsidR="008408F9" w:rsidRPr="008B2319">
        <w:rPr>
          <w:bCs/>
          <w:color w:val="000000" w:themeColor="text1"/>
        </w:rPr>
        <w:t>yakl</w:t>
      </w:r>
      <w:r w:rsidR="00C31232">
        <w:rPr>
          <w:bCs/>
          <w:color w:val="000000" w:themeColor="text1"/>
        </w:rPr>
        <w:t>aşık %370</w:t>
      </w:r>
      <w:r w:rsidR="00397F6E" w:rsidRPr="008B2319">
        <w:rPr>
          <w:bCs/>
          <w:color w:val="000000" w:themeColor="text1"/>
        </w:rPr>
        <w:t xml:space="preserve"> oranında </w:t>
      </w:r>
      <w:r w:rsidRPr="008B2319">
        <w:rPr>
          <w:bCs/>
          <w:color w:val="000000" w:themeColor="text1"/>
        </w:rPr>
        <w:t>artış</w:t>
      </w:r>
      <w:r w:rsidR="00397F6E" w:rsidRPr="008B2319">
        <w:rPr>
          <w:bCs/>
          <w:color w:val="000000" w:themeColor="text1"/>
        </w:rPr>
        <w:t xml:space="preserve"> görülmüştür.</w:t>
      </w:r>
      <w:r w:rsidR="00C31232">
        <w:rPr>
          <w:bCs/>
          <w:color w:val="000000" w:themeColor="text1"/>
        </w:rPr>
        <w:t xml:space="preserve"> 2018 yılında 320.737 olan rakam, 2019 yılında 1.502.706’ya </w:t>
      </w:r>
      <w:proofErr w:type="spellStart"/>
      <w:proofErr w:type="gramStart"/>
      <w:r w:rsidR="00C31232">
        <w:rPr>
          <w:bCs/>
          <w:color w:val="000000" w:themeColor="text1"/>
        </w:rPr>
        <w:t>yükselmiştir.</w:t>
      </w:r>
      <w:r w:rsidRPr="008B2319">
        <w:rPr>
          <w:bCs/>
          <w:color w:val="000000" w:themeColor="text1"/>
        </w:rPr>
        <w:t>Bu</w:t>
      </w:r>
      <w:proofErr w:type="spellEnd"/>
      <w:proofErr w:type="gramEnd"/>
      <w:r w:rsidRPr="008B2319">
        <w:rPr>
          <w:bCs/>
          <w:color w:val="000000" w:themeColor="text1"/>
        </w:rPr>
        <w:t xml:space="preserve"> hususta, </w:t>
      </w:r>
      <w:r w:rsidR="00C31232">
        <w:rPr>
          <w:bCs/>
          <w:color w:val="000000" w:themeColor="text1"/>
        </w:rPr>
        <w:t>2018 yılında u</w:t>
      </w:r>
      <w:r w:rsidR="00C31232" w:rsidRPr="008B2319">
        <w:rPr>
          <w:bCs/>
          <w:color w:val="000000" w:themeColor="text1"/>
        </w:rPr>
        <w:t>ygunsuzluğu tespit edilen ürünlere İl Müdü</w:t>
      </w:r>
      <w:r w:rsidR="00C31232">
        <w:rPr>
          <w:bCs/>
          <w:color w:val="000000" w:themeColor="text1"/>
        </w:rPr>
        <w:t xml:space="preserve">rlüklerince İPC uygulandığı </w:t>
      </w:r>
      <w:proofErr w:type="spellStart"/>
      <w:r w:rsidR="00C31232">
        <w:rPr>
          <w:bCs/>
          <w:color w:val="000000" w:themeColor="text1"/>
        </w:rPr>
        <w:t>ve</w:t>
      </w:r>
      <w:r w:rsidR="00C83CD0" w:rsidRPr="008B2319">
        <w:rPr>
          <w:bCs/>
          <w:color w:val="000000" w:themeColor="text1"/>
        </w:rPr>
        <w:t>uygunsuz</w:t>
      </w:r>
      <w:r w:rsidR="00C31232">
        <w:rPr>
          <w:bCs/>
          <w:color w:val="000000" w:themeColor="text1"/>
        </w:rPr>
        <w:t>luk</w:t>
      </w:r>
      <w:proofErr w:type="spellEnd"/>
      <w:r w:rsidR="00C83CD0" w:rsidRPr="008B2319">
        <w:rPr>
          <w:bCs/>
          <w:color w:val="000000" w:themeColor="text1"/>
        </w:rPr>
        <w:t xml:space="preserve"> tespiti sonrası işlemler uzun sürdüğünden cezaların henüz ta</w:t>
      </w:r>
      <w:r w:rsidR="00C31232">
        <w:rPr>
          <w:bCs/>
          <w:color w:val="000000" w:themeColor="text1"/>
        </w:rPr>
        <w:t>mamlanmadığı bilgisi bir önceki raporlama döneminde verilmiştir</w:t>
      </w:r>
      <w:r w:rsidR="00C83CD0" w:rsidRPr="008B2319">
        <w:rPr>
          <w:bCs/>
          <w:color w:val="000000" w:themeColor="text1"/>
        </w:rPr>
        <w:t>.</w:t>
      </w:r>
      <w:r w:rsidR="00C31232">
        <w:rPr>
          <w:bCs/>
          <w:color w:val="000000" w:themeColor="text1"/>
        </w:rPr>
        <w:t xml:space="preserve"> Bu kapsamda, uygunsuzluklara ilişkin İPC verilerinin 2019 yılında iletilmesi bu oranının artış nedenini göstermektedir.</w:t>
      </w:r>
      <w:r w:rsidR="00D86F3D" w:rsidRPr="008B2319">
        <w:rPr>
          <w:bCs/>
          <w:color w:val="000000" w:themeColor="text1"/>
        </w:rPr>
        <w:t xml:space="preserve"> Öte yandan</w:t>
      </w:r>
      <w:r w:rsidR="00C31232">
        <w:rPr>
          <w:bCs/>
          <w:color w:val="000000" w:themeColor="text1"/>
        </w:rPr>
        <w:t xml:space="preserve"> 2019 </w:t>
      </w:r>
      <w:proofErr w:type="spellStart"/>
      <w:r w:rsidR="00C31232">
        <w:rPr>
          <w:bCs/>
          <w:color w:val="000000" w:themeColor="text1"/>
        </w:rPr>
        <w:t>yılındaBakanlıkça</w:t>
      </w:r>
      <w:proofErr w:type="spellEnd"/>
      <w:r w:rsidR="00C31232">
        <w:rPr>
          <w:bCs/>
          <w:color w:val="000000" w:themeColor="text1"/>
        </w:rPr>
        <w:t xml:space="preserve"> tespit edilen 57 adet </w:t>
      </w:r>
      <w:proofErr w:type="spellStart"/>
      <w:r w:rsidR="00397F6E" w:rsidRPr="008B2319">
        <w:rPr>
          <w:bCs/>
          <w:color w:val="000000" w:themeColor="text1"/>
        </w:rPr>
        <w:t>güvensiz</w:t>
      </w:r>
      <w:r w:rsidR="00C31232">
        <w:rPr>
          <w:bCs/>
          <w:color w:val="000000" w:themeColor="text1"/>
        </w:rPr>
        <w:t>liğintamamı</w:t>
      </w:r>
      <w:proofErr w:type="spellEnd"/>
      <w:r w:rsidR="00C31232">
        <w:rPr>
          <w:bCs/>
          <w:color w:val="000000" w:themeColor="text1"/>
        </w:rPr>
        <w:t xml:space="preserve"> için İPC uygulanmıştır.</w:t>
      </w:r>
    </w:p>
    <w:p w:rsidR="002E12AE" w:rsidRDefault="008408F9" w:rsidP="002E12AE">
      <w:pPr>
        <w:numPr>
          <w:ilvl w:val="0"/>
          <w:numId w:val="13"/>
        </w:numPr>
        <w:spacing w:after="240"/>
        <w:ind w:left="0" w:firstLine="0"/>
        <w:jc w:val="both"/>
        <w:rPr>
          <w:bCs/>
          <w:color w:val="000000" w:themeColor="text1"/>
        </w:rPr>
      </w:pPr>
      <w:r w:rsidRPr="002E12AE">
        <w:rPr>
          <w:bCs/>
          <w:color w:val="000000" w:themeColor="text1"/>
        </w:rPr>
        <w:t>SB tarafından</w:t>
      </w:r>
      <w:r w:rsidR="00D31718">
        <w:rPr>
          <w:bCs/>
          <w:color w:val="000000" w:themeColor="text1"/>
        </w:rPr>
        <w:t xml:space="preserve"> </w:t>
      </w:r>
      <w:r w:rsidR="004B6DDD" w:rsidRPr="002E12AE">
        <w:rPr>
          <w:bCs/>
          <w:color w:val="000000" w:themeColor="text1"/>
        </w:rPr>
        <w:t>201</w:t>
      </w:r>
      <w:r w:rsidR="002E12AE" w:rsidRPr="002E12AE">
        <w:rPr>
          <w:bCs/>
          <w:color w:val="000000" w:themeColor="text1"/>
        </w:rPr>
        <w:t>9</w:t>
      </w:r>
      <w:r w:rsidR="00D31718">
        <w:rPr>
          <w:bCs/>
          <w:color w:val="000000" w:themeColor="text1"/>
        </w:rPr>
        <w:t xml:space="preserve"> </w:t>
      </w:r>
      <w:r w:rsidR="00C83CD0" w:rsidRPr="002E12AE">
        <w:rPr>
          <w:bCs/>
          <w:color w:val="000000" w:themeColor="text1"/>
        </w:rPr>
        <w:t>yılında güvensiz ürün tespiti</w:t>
      </w:r>
      <w:r w:rsidR="002E12AE" w:rsidRPr="002E12AE">
        <w:rPr>
          <w:bCs/>
          <w:color w:val="000000" w:themeColor="text1"/>
        </w:rPr>
        <w:t xml:space="preserve"> aynı miktarda kalmış ve uygunsuzluk oranı</w:t>
      </w:r>
      <w:r w:rsidR="00C83CD0" w:rsidRPr="002E12AE">
        <w:rPr>
          <w:bCs/>
          <w:color w:val="000000" w:themeColor="text1"/>
        </w:rPr>
        <w:t xml:space="preserve"> %</w:t>
      </w:r>
      <w:r w:rsidR="002E12AE" w:rsidRPr="002E12AE">
        <w:rPr>
          <w:bCs/>
          <w:color w:val="000000" w:themeColor="text1"/>
        </w:rPr>
        <w:t>108</w:t>
      </w:r>
      <w:r w:rsidR="00C83CD0" w:rsidRPr="002E12AE">
        <w:rPr>
          <w:bCs/>
          <w:color w:val="000000" w:themeColor="text1"/>
        </w:rPr>
        <w:t xml:space="preserve"> oranınd</w:t>
      </w:r>
      <w:r w:rsidR="002E12AE" w:rsidRPr="002E12AE">
        <w:rPr>
          <w:bCs/>
          <w:color w:val="000000" w:themeColor="text1"/>
        </w:rPr>
        <w:t>a artmış</w:t>
      </w:r>
      <w:r w:rsidRPr="002E12AE">
        <w:rPr>
          <w:bCs/>
          <w:color w:val="000000" w:themeColor="text1"/>
        </w:rPr>
        <w:t xml:space="preserve">, </w:t>
      </w:r>
      <w:r w:rsidR="002E12AE" w:rsidRPr="002E12AE">
        <w:rPr>
          <w:bCs/>
          <w:color w:val="000000" w:themeColor="text1"/>
        </w:rPr>
        <w:t xml:space="preserve">uygunsuzluklara ve güvensizliklere </w:t>
      </w:r>
      <w:r w:rsidR="00C83CD0" w:rsidRPr="002E12AE">
        <w:rPr>
          <w:bCs/>
          <w:color w:val="000000" w:themeColor="text1"/>
        </w:rPr>
        <w:t>uygulanan toplam İPC tutarı</w:t>
      </w:r>
      <w:r w:rsidR="002E12AE" w:rsidRPr="002E12AE">
        <w:rPr>
          <w:bCs/>
          <w:color w:val="000000" w:themeColor="text1"/>
        </w:rPr>
        <w:t xml:space="preserve"> 5.740.903’ten 6.951.664’e yükselmiştir</w:t>
      </w:r>
      <w:r w:rsidR="00D86F3D" w:rsidRPr="002E12AE">
        <w:rPr>
          <w:bCs/>
          <w:color w:val="000000" w:themeColor="text1"/>
        </w:rPr>
        <w:t xml:space="preserve">. </w:t>
      </w:r>
      <w:r w:rsidR="004B6DDD" w:rsidRPr="00D31718">
        <w:rPr>
          <w:bCs/>
          <w:color w:val="000000" w:themeColor="text1"/>
        </w:rPr>
        <w:t xml:space="preserve">Bakanlıkça </w:t>
      </w:r>
      <w:r w:rsidRPr="00D31718">
        <w:rPr>
          <w:bCs/>
          <w:color w:val="000000" w:themeColor="text1"/>
        </w:rPr>
        <w:t>uygunsu</w:t>
      </w:r>
      <w:r w:rsidR="00E96AF7" w:rsidRPr="00D31718">
        <w:rPr>
          <w:bCs/>
          <w:color w:val="000000" w:themeColor="text1"/>
        </w:rPr>
        <w:t>zluğu tespit edilen ürünlerin %</w:t>
      </w:r>
      <w:r w:rsidR="002E12AE" w:rsidRPr="00D31718">
        <w:rPr>
          <w:bCs/>
          <w:color w:val="000000" w:themeColor="text1"/>
        </w:rPr>
        <w:t>48’</w:t>
      </w:r>
      <w:r w:rsidR="00C83CD0" w:rsidRPr="00D31718">
        <w:rPr>
          <w:bCs/>
          <w:color w:val="000000" w:themeColor="text1"/>
        </w:rPr>
        <w:t>ine</w:t>
      </w:r>
      <w:r w:rsidRPr="00D31718">
        <w:rPr>
          <w:bCs/>
          <w:color w:val="000000" w:themeColor="text1"/>
        </w:rPr>
        <w:t xml:space="preserve">, güvensiz ürünlerin ise </w:t>
      </w:r>
      <w:r w:rsidR="00A14282" w:rsidRPr="00D31718">
        <w:rPr>
          <w:bCs/>
          <w:color w:val="000000" w:themeColor="text1"/>
        </w:rPr>
        <w:t>%</w:t>
      </w:r>
      <w:r w:rsidR="00C83CD0" w:rsidRPr="00D31718">
        <w:rPr>
          <w:bCs/>
          <w:color w:val="000000" w:themeColor="text1"/>
        </w:rPr>
        <w:t>9</w:t>
      </w:r>
      <w:r w:rsidR="002E12AE" w:rsidRPr="00D31718">
        <w:rPr>
          <w:bCs/>
          <w:color w:val="000000" w:themeColor="text1"/>
        </w:rPr>
        <w:t>6</w:t>
      </w:r>
      <w:r w:rsidR="00A14282" w:rsidRPr="00D31718">
        <w:rPr>
          <w:bCs/>
          <w:color w:val="000000" w:themeColor="text1"/>
        </w:rPr>
        <w:t>’</w:t>
      </w:r>
      <w:r w:rsidR="002E12AE" w:rsidRPr="00D31718">
        <w:rPr>
          <w:bCs/>
          <w:color w:val="000000" w:themeColor="text1"/>
        </w:rPr>
        <w:t>sı</w:t>
      </w:r>
      <w:r w:rsidR="00C83CD0" w:rsidRPr="00D31718">
        <w:rPr>
          <w:bCs/>
          <w:color w:val="000000" w:themeColor="text1"/>
        </w:rPr>
        <w:t>na</w:t>
      </w:r>
      <w:r w:rsidR="00D31718" w:rsidRPr="00D31718">
        <w:rPr>
          <w:bCs/>
          <w:color w:val="000000" w:themeColor="text1"/>
        </w:rPr>
        <w:t xml:space="preserve"> </w:t>
      </w:r>
      <w:r w:rsidR="00542E6A" w:rsidRPr="00D31718">
        <w:rPr>
          <w:bCs/>
          <w:color w:val="000000" w:themeColor="text1"/>
        </w:rPr>
        <w:t xml:space="preserve">İPC </w:t>
      </w:r>
      <w:r w:rsidRPr="00D31718">
        <w:rPr>
          <w:bCs/>
          <w:color w:val="000000" w:themeColor="text1"/>
        </w:rPr>
        <w:t>uygulanmıştır.</w:t>
      </w:r>
      <w:r w:rsidR="00D31718" w:rsidRPr="00D31718">
        <w:rPr>
          <w:bCs/>
          <w:iCs/>
          <w:color w:val="000000" w:themeColor="text1"/>
        </w:rPr>
        <w:t xml:space="preserve"> </w:t>
      </w:r>
      <w:proofErr w:type="gramStart"/>
      <w:r w:rsidR="004C7566" w:rsidRPr="00D31718">
        <w:rPr>
          <w:bCs/>
          <w:iCs/>
          <w:color w:val="000000" w:themeColor="text1"/>
        </w:rPr>
        <w:t>Ayrıca, uygunsuz ve güvensiz olan ürünlere uygulanan idari para cezaları haricinde, 2019 yılında 20 farklı kozmetik firmasına Sorumlu Teknik Eleman bulundurmamaktan dolayı 10.000'er TL olmak üzere toplam 200.000 TL idari para cezası da uygulandığı, ayrıca 1 kozmetik firmasına GMP gerekliliklerini karşılamamaktan dolayı 20.000 TL GMP cezası uygulandığı konusunda Bakanlıkça bilgi verilmiştir.</w:t>
      </w:r>
      <w:proofErr w:type="gramEnd"/>
    </w:p>
    <w:p w:rsidR="002E12AE" w:rsidRDefault="002E12AE" w:rsidP="006A3CE9">
      <w:pPr>
        <w:numPr>
          <w:ilvl w:val="0"/>
          <w:numId w:val="13"/>
        </w:numPr>
        <w:spacing w:after="240"/>
        <w:ind w:left="0" w:firstLine="0"/>
        <w:jc w:val="both"/>
      </w:pPr>
      <w:proofErr w:type="spellStart"/>
      <w:r w:rsidRPr="006A3CE9">
        <w:rPr>
          <w:bCs/>
          <w:color w:val="000000" w:themeColor="text1"/>
        </w:rPr>
        <w:t>ÇŞB’nin</w:t>
      </w:r>
      <w:proofErr w:type="spellEnd"/>
      <w:r w:rsidRPr="006A3CE9">
        <w:rPr>
          <w:bCs/>
          <w:color w:val="000000" w:themeColor="text1"/>
        </w:rPr>
        <w:t xml:space="preserve"> uyguladığı İPC toplamı 201</w:t>
      </w:r>
      <w:r w:rsidR="00D226A2" w:rsidRPr="006A3CE9">
        <w:rPr>
          <w:bCs/>
          <w:color w:val="000000" w:themeColor="text1"/>
        </w:rPr>
        <w:t>8</w:t>
      </w:r>
      <w:r w:rsidRPr="006A3CE9">
        <w:rPr>
          <w:bCs/>
          <w:color w:val="000000" w:themeColor="text1"/>
        </w:rPr>
        <w:t xml:space="preserve"> senesinde 13.298.590 TL </w:t>
      </w:r>
      <w:r w:rsidR="00D226A2" w:rsidRPr="006A3CE9">
        <w:rPr>
          <w:bCs/>
          <w:color w:val="000000" w:themeColor="text1"/>
        </w:rPr>
        <w:t xml:space="preserve">iken 2019 senesinde </w:t>
      </w:r>
      <w:r w:rsidR="00C75EB0" w:rsidRPr="006A3CE9">
        <w:rPr>
          <w:bCs/>
          <w:color w:val="000000" w:themeColor="text1"/>
        </w:rPr>
        <w:t xml:space="preserve"> %24 azalmış ve </w:t>
      </w:r>
      <w:r w:rsidR="00D226A2" w:rsidRPr="006A3CE9">
        <w:rPr>
          <w:bCs/>
          <w:color w:val="000000" w:themeColor="text1"/>
        </w:rPr>
        <w:t xml:space="preserve">10.130.078 </w:t>
      </w:r>
      <w:r w:rsidR="00C75EB0" w:rsidRPr="006A3CE9">
        <w:rPr>
          <w:bCs/>
          <w:color w:val="000000" w:themeColor="text1"/>
        </w:rPr>
        <w:t>TL olmuştur.</w:t>
      </w:r>
    </w:p>
    <w:p w:rsidR="00571359" w:rsidRPr="00571359" w:rsidRDefault="001E690F" w:rsidP="00571359">
      <w:pPr>
        <w:numPr>
          <w:ilvl w:val="0"/>
          <w:numId w:val="13"/>
        </w:numPr>
        <w:spacing w:after="240"/>
        <w:ind w:left="0" w:firstLine="0"/>
        <w:jc w:val="both"/>
        <w:rPr>
          <w:bCs/>
          <w:color w:val="000000" w:themeColor="text1"/>
        </w:rPr>
      </w:pPr>
      <w:r w:rsidRPr="002E069A">
        <w:rPr>
          <w:bCs/>
          <w:color w:val="000000" w:themeColor="text1"/>
        </w:rPr>
        <w:t>UA</w:t>
      </w:r>
      <w:r w:rsidR="00FD30D3" w:rsidRPr="002E069A">
        <w:rPr>
          <w:bCs/>
          <w:color w:val="000000" w:themeColor="text1"/>
        </w:rPr>
        <w:t>B</w:t>
      </w:r>
      <w:r w:rsidR="00571359">
        <w:rPr>
          <w:bCs/>
          <w:color w:val="000000" w:themeColor="text1"/>
        </w:rPr>
        <w:t xml:space="preserve"> tarafından</w:t>
      </w:r>
      <w:r w:rsidR="00E96AF7" w:rsidRPr="002E069A">
        <w:rPr>
          <w:bCs/>
          <w:color w:val="000000" w:themeColor="text1"/>
        </w:rPr>
        <w:t>,</w:t>
      </w:r>
      <w:r w:rsidRPr="002E069A">
        <w:rPr>
          <w:bCs/>
          <w:color w:val="000000" w:themeColor="text1"/>
        </w:rPr>
        <w:t xml:space="preserve"> 201</w:t>
      </w:r>
      <w:r w:rsidR="00571359">
        <w:rPr>
          <w:bCs/>
          <w:color w:val="000000" w:themeColor="text1"/>
        </w:rPr>
        <w:t>9</w:t>
      </w:r>
      <w:r w:rsidRPr="002E069A">
        <w:rPr>
          <w:bCs/>
          <w:color w:val="000000" w:themeColor="text1"/>
        </w:rPr>
        <w:t xml:space="preserve"> yılında</w:t>
      </w:r>
      <w:r w:rsidR="00FD30D3" w:rsidRPr="002E069A">
        <w:rPr>
          <w:bCs/>
          <w:color w:val="000000" w:themeColor="text1"/>
        </w:rPr>
        <w:t xml:space="preserve"> tespit e</w:t>
      </w:r>
      <w:r w:rsidR="00571359">
        <w:rPr>
          <w:bCs/>
          <w:color w:val="000000" w:themeColor="text1"/>
        </w:rPr>
        <w:t>dilen13</w:t>
      </w:r>
      <w:r w:rsidR="00AB6D27" w:rsidRPr="002E069A">
        <w:rPr>
          <w:bCs/>
          <w:color w:val="000000" w:themeColor="text1"/>
        </w:rPr>
        <w:t xml:space="preserve"> uygunsuzluk</w:t>
      </w:r>
      <w:r w:rsidR="00571359">
        <w:rPr>
          <w:bCs/>
          <w:color w:val="000000" w:themeColor="text1"/>
        </w:rPr>
        <w:t xml:space="preserve">tan 2 tanesine </w:t>
      </w:r>
      <w:r w:rsidR="00AB6D27" w:rsidRPr="002E069A">
        <w:rPr>
          <w:bCs/>
          <w:color w:val="000000" w:themeColor="text1"/>
        </w:rPr>
        <w:t xml:space="preserve">toplamda </w:t>
      </w:r>
      <w:r w:rsidR="00571359">
        <w:rPr>
          <w:bCs/>
          <w:color w:val="000000" w:themeColor="text1"/>
        </w:rPr>
        <w:t>11.328</w:t>
      </w:r>
      <w:r w:rsidR="00DF0587" w:rsidRPr="002E069A">
        <w:rPr>
          <w:bCs/>
          <w:color w:val="000000" w:themeColor="text1"/>
        </w:rPr>
        <w:t xml:space="preserve"> TL İPC uygulamıştır.</w:t>
      </w:r>
      <w:r w:rsidR="009744C5">
        <w:rPr>
          <w:bCs/>
          <w:color w:val="000000" w:themeColor="text1"/>
        </w:rPr>
        <w:t xml:space="preserve"> Bununla birlikte, c</w:t>
      </w:r>
      <w:r w:rsidR="00571359" w:rsidRPr="00571359">
        <w:rPr>
          <w:bCs/>
          <w:color w:val="000000" w:themeColor="text1"/>
        </w:rPr>
        <w:t>eza kesilmemiş olan ürünlerin tanınan süre zarfında uyumsuzlukları</w:t>
      </w:r>
      <w:r w:rsidR="00571359">
        <w:rPr>
          <w:bCs/>
          <w:color w:val="000000" w:themeColor="text1"/>
        </w:rPr>
        <w:t xml:space="preserve">nın giderildiği bilgisi </w:t>
      </w:r>
      <w:r w:rsidR="009744C5">
        <w:rPr>
          <w:bCs/>
          <w:color w:val="000000" w:themeColor="text1"/>
        </w:rPr>
        <w:t xml:space="preserve">Bakanlıkça </w:t>
      </w:r>
      <w:r w:rsidR="00571359">
        <w:rPr>
          <w:bCs/>
          <w:color w:val="000000" w:themeColor="text1"/>
        </w:rPr>
        <w:t>verilmiştir</w:t>
      </w:r>
      <w:r w:rsidR="00571359" w:rsidRPr="00571359">
        <w:rPr>
          <w:bCs/>
          <w:color w:val="000000" w:themeColor="text1"/>
        </w:rPr>
        <w:t>.</w:t>
      </w:r>
    </w:p>
    <w:p w:rsidR="0016568A" w:rsidRPr="008B2319" w:rsidRDefault="0016568A" w:rsidP="00E42E14">
      <w:pPr>
        <w:numPr>
          <w:ilvl w:val="0"/>
          <w:numId w:val="13"/>
        </w:numPr>
        <w:spacing w:after="240"/>
        <w:ind w:left="0" w:firstLine="0"/>
        <w:jc w:val="both"/>
        <w:rPr>
          <w:bCs/>
          <w:color w:val="000000" w:themeColor="text1"/>
        </w:rPr>
      </w:pPr>
      <w:r w:rsidRPr="008B2319">
        <w:rPr>
          <w:bCs/>
          <w:color w:val="000000" w:themeColor="text1"/>
        </w:rPr>
        <w:t xml:space="preserve">BTK tarafından uygulanan </w:t>
      </w:r>
      <w:r w:rsidRPr="00D31718">
        <w:rPr>
          <w:bCs/>
          <w:color w:val="000000" w:themeColor="text1"/>
        </w:rPr>
        <w:t>İPC tutarı 2018</w:t>
      </w:r>
      <w:r w:rsidR="00D41BD0" w:rsidRPr="00D31718">
        <w:rPr>
          <w:bCs/>
          <w:color w:val="000000" w:themeColor="text1"/>
        </w:rPr>
        <w:t xml:space="preserve"> senesinde</w:t>
      </w:r>
      <w:r w:rsidR="00D31718" w:rsidRPr="00D31718">
        <w:rPr>
          <w:bCs/>
          <w:color w:val="000000" w:themeColor="text1"/>
        </w:rPr>
        <w:t xml:space="preserve"> </w:t>
      </w:r>
      <w:r w:rsidR="00293944" w:rsidRPr="00D31718">
        <w:rPr>
          <w:bCs/>
          <w:color w:val="000000" w:themeColor="text1"/>
        </w:rPr>
        <w:t>56.538</w:t>
      </w:r>
      <w:r w:rsidR="00D31718" w:rsidRPr="00D31718">
        <w:rPr>
          <w:bCs/>
          <w:color w:val="000000" w:themeColor="text1"/>
        </w:rPr>
        <w:t xml:space="preserve"> </w:t>
      </w:r>
      <w:r w:rsidR="00D41BD0" w:rsidRPr="00D31718">
        <w:rPr>
          <w:bCs/>
          <w:color w:val="000000" w:themeColor="text1"/>
        </w:rPr>
        <w:t>TL iken 2019’da</w:t>
      </w:r>
      <w:r w:rsidR="00D31718" w:rsidRPr="00D31718">
        <w:rPr>
          <w:bCs/>
          <w:color w:val="000000" w:themeColor="text1"/>
        </w:rPr>
        <w:t xml:space="preserve"> </w:t>
      </w:r>
      <w:r w:rsidR="00293944" w:rsidRPr="00D31718">
        <w:rPr>
          <w:bCs/>
          <w:color w:val="000000" w:themeColor="text1"/>
        </w:rPr>
        <w:t xml:space="preserve">107.048 TL test masrafı dışında, güvensizlik nedeniyle 708.230 TL, aykırılık nedeniyle ise 1.685.122,5 TL olmak üzere, toplam 2.393.352,5 TL İPC uygulanmıştır. </w:t>
      </w:r>
      <w:r w:rsidRPr="00D31718">
        <w:rPr>
          <w:bCs/>
          <w:color w:val="000000" w:themeColor="text1"/>
        </w:rPr>
        <w:t xml:space="preserve"> Kurum tarafından </w:t>
      </w:r>
      <w:r w:rsidR="00D41BD0" w:rsidRPr="00D31718">
        <w:rPr>
          <w:bCs/>
          <w:color w:val="000000" w:themeColor="text1"/>
        </w:rPr>
        <w:t>707 ürün partisinin</w:t>
      </w:r>
      <w:r w:rsidRPr="00D31718">
        <w:rPr>
          <w:bCs/>
          <w:color w:val="000000" w:themeColor="text1"/>
        </w:rPr>
        <w:t xml:space="preserve"> uyg</w:t>
      </w:r>
      <w:r w:rsidR="00D41BD0" w:rsidRPr="00D31718">
        <w:rPr>
          <w:bCs/>
          <w:color w:val="000000" w:themeColor="text1"/>
        </w:rPr>
        <w:t>unsuz olduğu tespit edilmiş ve u</w:t>
      </w:r>
      <w:r w:rsidRPr="00D31718">
        <w:rPr>
          <w:bCs/>
          <w:color w:val="000000" w:themeColor="text1"/>
        </w:rPr>
        <w:t>ygunsuz olduğu tespit edilen 1</w:t>
      </w:r>
      <w:r w:rsidR="00D41BD0" w:rsidRPr="00D31718">
        <w:rPr>
          <w:bCs/>
          <w:color w:val="000000" w:themeColor="text1"/>
        </w:rPr>
        <w:t>82</w:t>
      </w:r>
      <w:r w:rsidRPr="008B2319">
        <w:rPr>
          <w:bCs/>
          <w:color w:val="000000" w:themeColor="text1"/>
        </w:rPr>
        <w:t xml:space="preserve"> ürün</w:t>
      </w:r>
      <w:r w:rsidR="00D41BD0">
        <w:rPr>
          <w:bCs/>
          <w:color w:val="000000" w:themeColor="text1"/>
        </w:rPr>
        <w:t xml:space="preserve"> partisi</w:t>
      </w:r>
      <w:r w:rsidRPr="008B2319">
        <w:rPr>
          <w:bCs/>
          <w:color w:val="000000" w:themeColor="text1"/>
        </w:rPr>
        <w:t xml:space="preserve"> iç</w:t>
      </w:r>
      <w:r w:rsidR="00D41BD0">
        <w:rPr>
          <w:bCs/>
          <w:color w:val="000000" w:themeColor="text1"/>
        </w:rPr>
        <w:t xml:space="preserve">in idari para </w:t>
      </w:r>
      <w:r w:rsidR="00293944">
        <w:rPr>
          <w:bCs/>
          <w:color w:val="000000" w:themeColor="text1"/>
        </w:rPr>
        <w:lastRenderedPageBreak/>
        <w:t>cezası uygulanmıştır. BTK tarafından</w:t>
      </w:r>
      <w:r w:rsidR="00D41BD0">
        <w:rPr>
          <w:bCs/>
          <w:color w:val="000000" w:themeColor="text1"/>
        </w:rPr>
        <w:t xml:space="preserve"> 2019 yılında 11 adet güvensizlik tespit edilmiş ve güvensizliklerin tamamına İPC uygulanmıştır.</w:t>
      </w:r>
    </w:p>
    <w:p w:rsidR="009A11F2" w:rsidRPr="008B2319" w:rsidRDefault="00AB6D27" w:rsidP="00BE41A3">
      <w:pPr>
        <w:numPr>
          <w:ilvl w:val="0"/>
          <w:numId w:val="13"/>
        </w:numPr>
        <w:spacing w:after="240"/>
        <w:ind w:left="0" w:firstLine="0"/>
        <w:jc w:val="both"/>
        <w:rPr>
          <w:bCs/>
          <w:color w:val="000000" w:themeColor="text1"/>
        </w:rPr>
      </w:pPr>
      <w:r w:rsidRPr="008B2319">
        <w:rPr>
          <w:bCs/>
          <w:color w:val="000000" w:themeColor="text1"/>
        </w:rPr>
        <w:t>TOB</w:t>
      </w:r>
      <w:r w:rsidR="004D6FE4" w:rsidRPr="008B2319">
        <w:rPr>
          <w:bCs/>
          <w:color w:val="000000" w:themeColor="text1"/>
        </w:rPr>
        <w:t xml:space="preserve"> tarafından </w:t>
      </w:r>
      <w:r w:rsidR="00CD0A41" w:rsidRPr="008B2319">
        <w:rPr>
          <w:bCs/>
          <w:color w:val="000000" w:themeColor="text1"/>
        </w:rPr>
        <w:t>uygulana</w:t>
      </w:r>
      <w:r w:rsidR="00B1599C" w:rsidRPr="008B2319">
        <w:rPr>
          <w:bCs/>
          <w:color w:val="000000" w:themeColor="text1"/>
        </w:rPr>
        <w:t>n</w:t>
      </w:r>
      <w:r w:rsidR="00CD0A41" w:rsidRPr="008B2319">
        <w:rPr>
          <w:bCs/>
          <w:color w:val="000000" w:themeColor="text1"/>
        </w:rPr>
        <w:t xml:space="preserve"> İPC </w:t>
      </w:r>
      <w:proofErr w:type="spellStart"/>
      <w:proofErr w:type="gramStart"/>
      <w:r w:rsidR="00CD0A41" w:rsidRPr="008B2319">
        <w:rPr>
          <w:bCs/>
          <w:color w:val="000000" w:themeColor="text1"/>
        </w:rPr>
        <w:t>tutarına</w:t>
      </w:r>
      <w:r w:rsidR="00E96AF7" w:rsidRPr="008B2319">
        <w:rPr>
          <w:bCs/>
          <w:color w:val="000000" w:themeColor="text1"/>
        </w:rPr>
        <w:t>;</w:t>
      </w:r>
      <w:r w:rsidR="004D6FE4" w:rsidRPr="008B2319">
        <w:rPr>
          <w:bCs/>
          <w:color w:val="000000" w:themeColor="text1"/>
        </w:rPr>
        <w:t>iç</w:t>
      </w:r>
      <w:proofErr w:type="spellEnd"/>
      <w:proofErr w:type="gramEnd"/>
      <w:r w:rsidR="004D6FE4" w:rsidRPr="008B2319">
        <w:rPr>
          <w:bCs/>
          <w:color w:val="000000" w:themeColor="text1"/>
        </w:rPr>
        <w:t xml:space="preserve"> piyasada gıda ve gıda ile temas eden malzemeleri üreten, satan veya toplu tüketime sunan iş yerlerine yönelik resmi kontroller </w:t>
      </w:r>
      <w:r w:rsidR="00CD0A41" w:rsidRPr="008B2319">
        <w:rPr>
          <w:bCs/>
          <w:color w:val="000000" w:themeColor="text1"/>
        </w:rPr>
        <w:t xml:space="preserve">sonucunda, söz konusu </w:t>
      </w:r>
      <w:r w:rsidR="004D6FE4" w:rsidRPr="008B2319">
        <w:rPr>
          <w:bCs/>
          <w:color w:val="000000" w:themeColor="text1"/>
        </w:rPr>
        <w:t xml:space="preserve">işyerlerinden, gıda mevzuatına uygun faaliyette bulunmayanlara yönelik </w:t>
      </w:r>
      <w:r w:rsidR="00CD0A41" w:rsidRPr="008B2319">
        <w:rPr>
          <w:bCs/>
          <w:color w:val="000000" w:themeColor="text1"/>
        </w:rPr>
        <w:t xml:space="preserve">olarak uygulanan </w:t>
      </w:r>
      <w:proofErr w:type="spellStart"/>
      <w:r w:rsidR="004D6FE4" w:rsidRPr="008B2319">
        <w:rPr>
          <w:bCs/>
          <w:color w:val="000000" w:themeColor="text1"/>
        </w:rPr>
        <w:t>İPC</w:t>
      </w:r>
      <w:r w:rsidR="00CD0A41" w:rsidRPr="008B2319">
        <w:rPr>
          <w:bCs/>
          <w:color w:val="000000" w:themeColor="text1"/>
        </w:rPr>
        <w:t>tutarları</w:t>
      </w:r>
      <w:proofErr w:type="spellEnd"/>
      <w:r w:rsidR="00CD0A41" w:rsidRPr="008B2319">
        <w:rPr>
          <w:bCs/>
          <w:color w:val="000000" w:themeColor="text1"/>
        </w:rPr>
        <w:t xml:space="preserve"> da dahildir</w:t>
      </w:r>
      <w:r w:rsidR="001C45FB">
        <w:rPr>
          <w:bCs/>
          <w:color w:val="000000" w:themeColor="text1"/>
        </w:rPr>
        <w:t>.</w:t>
      </w:r>
    </w:p>
    <w:p w:rsidR="009A11F2" w:rsidRPr="008B2319" w:rsidRDefault="00AB6D27" w:rsidP="00BE41A3">
      <w:pPr>
        <w:numPr>
          <w:ilvl w:val="0"/>
          <w:numId w:val="13"/>
        </w:numPr>
        <w:spacing w:after="240"/>
        <w:ind w:left="0" w:firstLine="0"/>
        <w:jc w:val="both"/>
        <w:rPr>
          <w:bCs/>
          <w:color w:val="000000" w:themeColor="text1"/>
        </w:rPr>
      </w:pPr>
      <w:proofErr w:type="spellStart"/>
      <w:r w:rsidRPr="008B2319">
        <w:rPr>
          <w:bCs/>
          <w:color w:val="000000" w:themeColor="text1"/>
        </w:rPr>
        <w:t>TO</w:t>
      </w:r>
      <w:r w:rsidR="004D6FE4" w:rsidRPr="008B2319">
        <w:rPr>
          <w:bCs/>
          <w:color w:val="000000" w:themeColor="text1"/>
        </w:rPr>
        <w:t>B</w:t>
      </w:r>
      <w:r w:rsidR="00D63C61" w:rsidRPr="008B2319">
        <w:rPr>
          <w:bCs/>
          <w:color w:val="000000" w:themeColor="text1"/>
        </w:rPr>
        <w:t>tarafından</w:t>
      </w:r>
      <w:proofErr w:type="spellEnd"/>
      <w:r w:rsidR="00D63C61" w:rsidRPr="008B2319">
        <w:rPr>
          <w:bCs/>
          <w:color w:val="000000" w:themeColor="text1"/>
        </w:rPr>
        <w:t xml:space="preserve"> uygulanan İPC %</w:t>
      </w:r>
      <w:r w:rsidR="005447F2">
        <w:rPr>
          <w:bCs/>
          <w:color w:val="000000" w:themeColor="text1"/>
        </w:rPr>
        <w:t>25</w:t>
      </w:r>
      <w:r w:rsidR="00D63C61" w:rsidRPr="008B2319">
        <w:rPr>
          <w:bCs/>
          <w:color w:val="000000" w:themeColor="text1"/>
        </w:rPr>
        <w:t xml:space="preserve"> oranında artış göstererek </w:t>
      </w:r>
      <w:r w:rsidR="005447F2">
        <w:rPr>
          <w:bCs/>
          <w:color w:val="000000" w:themeColor="text1"/>
        </w:rPr>
        <w:t>147.351.813</w:t>
      </w:r>
      <w:r w:rsidR="009A11F2" w:rsidRPr="008B2319">
        <w:rPr>
          <w:bCs/>
          <w:color w:val="000000" w:themeColor="text1"/>
        </w:rPr>
        <w:t xml:space="preserve"> TL olmuştur. Bakanlıkç</w:t>
      </w:r>
      <w:r w:rsidR="00B1599C" w:rsidRPr="008B2319">
        <w:rPr>
          <w:bCs/>
          <w:color w:val="000000" w:themeColor="text1"/>
        </w:rPr>
        <w:t>a</w:t>
      </w:r>
      <w:r w:rsidR="004D6FE4" w:rsidRPr="008B2319">
        <w:rPr>
          <w:bCs/>
          <w:color w:val="000000" w:themeColor="text1"/>
        </w:rPr>
        <w:t xml:space="preserve">, </w:t>
      </w:r>
      <w:r w:rsidR="00D63C61" w:rsidRPr="008B2319">
        <w:rPr>
          <w:bCs/>
          <w:color w:val="000000" w:themeColor="text1"/>
        </w:rPr>
        <w:t>201</w:t>
      </w:r>
      <w:r w:rsidR="005447F2">
        <w:rPr>
          <w:bCs/>
          <w:color w:val="000000" w:themeColor="text1"/>
        </w:rPr>
        <w:t>9</w:t>
      </w:r>
      <w:r w:rsidR="009A11F2" w:rsidRPr="008B2319">
        <w:rPr>
          <w:bCs/>
          <w:color w:val="000000" w:themeColor="text1"/>
        </w:rPr>
        <w:t xml:space="preserve"> senesinde</w:t>
      </w:r>
      <w:r w:rsidR="00577DED">
        <w:rPr>
          <w:bCs/>
          <w:color w:val="000000" w:themeColor="text1"/>
        </w:rPr>
        <w:t xml:space="preserve"> 16.428 işletmeye, ayrıca</w:t>
      </w:r>
      <w:r w:rsidR="005447F2">
        <w:rPr>
          <w:bCs/>
          <w:color w:val="000000" w:themeColor="text1"/>
        </w:rPr>
        <w:t xml:space="preserve">1.222 güvensiz ürün partisinin1.074’üne (%88’ine) </w:t>
      </w:r>
      <w:r w:rsidR="00D63C61" w:rsidRPr="008B2319">
        <w:rPr>
          <w:bCs/>
          <w:color w:val="000000" w:themeColor="text1"/>
        </w:rPr>
        <w:t>İPC uygulan</w:t>
      </w:r>
      <w:r w:rsidR="00577DED">
        <w:rPr>
          <w:bCs/>
          <w:color w:val="000000" w:themeColor="text1"/>
        </w:rPr>
        <w:t>mıştır.</w:t>
      </w:r>
    </w:p>
    <w:p w:rsidR="009A11F2" w:rsidRPr="008B2319" w:rsidRDefault="009A11F2" w:rsidP="00BE41A3">
      <w:pPr>
        <w:spacing w:after="240"/>
        <w:ind w:firstLine="567"/>
        <w:jc w:val="both"/>
        <w:rPr>
          <w:bCs/>
          <w:color w:val="000000" w:themeColor="text1"/>
        </w:rPr>
      </w:pPr>
      <w:r w:rsidRPr="008B2319">
        <w:rPr>
          <w:bCs/>
          <w:color w:val="000000" w:themeColor="text1"/>
        </w:rPr>
        <w:t>Bu veriler dışında yukarıdaki grafiklere yansıtılmayan ürün gruplarına ilişkin değerlen</w:t>
      </w:r>
      <w:r w:rsidR="003D3FAD" w:rsidRPr="008B2319">
        <w:rPr>
          <w:bCs/>
          <w:color w:val="000000" w:themeColor="text1"/>
        </w:rPr>
        <w:t>dirmeler aşağıda yer almaktadır:</w:t>
      </w:r>
    </w:p>
    <w:p w:rsidR="009A11F2" w:rsidRPr="008B2319" w:rsidRDefault="009A11F2" w:rsidP="00BE41A3">
      <w:pPr>
        <w:pStyle w:val="ListeParagraf"/>
        <w:numPr>
          <w:ilvl w:val="0"/>
          <w:numId w:val="13"/>
        </w:numPr>
        <w:spacing w:after="240"/>
        <w:ind w:left="0" w:firstLine="0"/>
        <w:jc w:val="both"/>
        <w:rPr>
          <w:bCs/>
          <w:color w:val="000000" w:themeColor="text1"/>
        </w:rPr>
      </w:pPr>
      <w:r w:rsidRPr="008B2319">
        <w:rPr>
          <w:bCs/>
          <w:color w:val="000000" w:themeColor="text1"/>
        </w:rPr>
        <w:t>ÇŞB</w:t>
      </w:r>
      <w:r w:rsidR="00F57AD7" w:rsidRPr="008B2319">
        <w:rPr>
          <w:bCs/>
          <w:color w:val="000000" w:themeColor="text1"/>
        </w:rPr>
        <w:t>,</w:t>
      </w:r>
      <w:r w:rsidRPr="008B2319">
        <w:rPr>
          <w:bCs/>
          <w:color w:val="000000" w:themeColor="text1"/>
        </w:rPr>
        <w:t xml:space="preserve"> katı yakıtlar ürün grubunda</w:t>
      </w:r>
      <w:r w:rsidR="00F57AD7" w:rsidRPr="008B2319">
        <w:rPr>
          <w:bCs/>
          <w:color w:val="000000" w:themeColor="text1"/>
        </w:rPr>
        <w:t>,</w:t>
      </w:r>
      <w:r w:rsidRPr="008B2319">
        <w:rPr>
          <w:bCs/>
          <w:color w:val="000000" w:themeColor="text1"/>
        </w:rPr>
        <w:t xml:space="preserve"> 2872 sayılı Çevre Kanunu kapsamında uygunsuz olduğu tespit ed</w:t>
      </w:r>
      <w:r w:rsidR="00D63C61" w:rsidRPr="008B2319">
        <w:rPr>
          <w:bCs/>
          <w:color w:val="000000" w:themeColor="text1"/>
        </w:rPr>
        <w:t>ilen ürünlere yönelik olarak 134.788</w:t>
      </w:r>
      <w:r w:rsidRPr="008B2319">
        <w:rPr>
          <w:bCs/>
          <w:color w:val="000000" w:themeColor="text1"/>
        </w:rPr>
        <w:t xml:space="preserve"> TL</w:t>
      </w:r>
      <w:r w:rsidR="00D63C61" w:rsidRPr="008B2319">
        <w:rPr>
          <w:bCs/>
          <w:color w:val="000000" w:themeColor="text1"/>
        </w:rPr>
        <w:t xml:space="preserve"> İPC uygulamıştır. Bakanlıkça, söz konusu denetimlerin 2872 sayılı Çevre Kanunu kapsamında yapılmakta olduğu, Kanun'da güvensiz ve uygunsuz ürün tanımı bulunmadığı, uygunsuz ürün tanımına karşılık olarak teknik mevzuatına uygun olmayan ürünlerin alındığı ve güvensiz ürünlere dair bir veri oluşturulamadığı belirti</w:t>
      </w:r>
      <w:r w:rsidR="00D45553">
        <w:rPr>
          <w:bCs/>
          <w:color w:val="000000" w:themeColor="text1"/>
        </w:rPr>
        <w:t>l</w:t>
      </w:r>
      <w:r w:rsidR="00D63C61" w:rsidRPr="008B2319">
        <w:rPr>
          <w:bCs/>
          <w:color w:val="000000" w:themeColor="text1"/>
        </w:rPr>
        <w:t>miştir.</w:t>
      </w:r>
    </w:p>
    <w:p w:rsidR="007D7BC0" w:rsidRPr="008B2319" w:rsidRDefault="009A11F2" w:rsidP="007D7BC0">
      <w:pPr>
        <w:pStyle w:val="ListeParagraf"/>
        <w:numPr>
          <w:ilvl w:val="0"/>
          <w:numId w:val="13"/>
        </w:numPr>
        <w:spacing w:after="240"/>
        <w:ind w:left="0" w:firstLine="0"/>
        <w:jc w:val="both"/>
        <w:rPr>
          <w:bCs/>
          <w:color w:val="000000" w:themeColor="text1"/>
        </w:rPr>
      </w:pPr>
      <w:r w:rsidRPr="008B2319">
        <w:rPr>
          <w:bCs/>
          <w:color w:val="000000" w:themeColor="text1"/>
        </w:rPr>
        <w:t>ST</w:t>
      </w:r>
      <w:r w:rsidR="007E5610" w:rsidRPr="008B2319">
        <w:rPr>
          <w:bCs/>
          <w:color w:val="000000" w:themeColor="text1"/>
        </w:rPr>
        <w:t xml:space="preserve">B yasal metroloji ürün grubunda, </w:t>
      </w:r>
      <w:r w:rsidR="007D7BC0" w:rsidRPr="008B2319">
        <w:rPr>
          <w:bCs/>
          <w:color w:val="000000" w:themeColor="text1"/>
        </w:rPr>
        <w:t>piyasadaki denetimlerinde tespit e</w:t>
      </w:r>
      <w:r w:rsidR="00D45553">
        <w:rPr>
          <w:bCs/>
          <w:color w:val="000000" w:themeColor="text1"/>
        </w:rPr>
        <w:t>ttiği8 adet uygunsuzluğun 3 tanesine 15.906</w:t>
      </w:r>
      <w:r w:rsidR="007E5610" w:rsidRPr="008B2319">
        <w:rPr>
          <w:bCs/>
          <w:color w:val="000000" w:themeColor="text1"/>
        </w:rPr>
        <w:t xml:space="preserve"> TL</w:t>
      </w:r>
      <w:r w:rsidR="00D45553">
        <w:rPr>
          <w:bCs/>
          <w:color w:val="000000" w:themeColor="text1"/>
        </w:rPr>
        <w:t xml:space="preserve"> tutarında</w:t>
      </w:r>
      <w:r w:rsidR="007E5610" w:rsidRPr="008B2319">
        <w:rPr>
          <w:bCs/>
          <w:color w:val="000000" w:themeColor="text1"/>
        </w:rPr>
        <w:t xml:space="preserve"> idari para cezası uygulandığını belirtmiştir.</w:t>
      </w:r>
    </w:p>
    <w:p w:rsidR="001743BE" w:rsidRDefault="007E5610" w:rsidP="001743BE">
      <w:pPr>
        <w:pStyle w:val="ListeParagraf"/>
        <w:numPr>
          <w:ilvl w:val="0"/>
          <w:numId w:val="13"/>
        </w:numPr>
        <w:spacing w:after="240"/>
        <w:ind w:left="0" w:firstLine="0"/>
        <w:jc w:val="both"/>
        <w:rPr>
          <w:bCs/>
          <w:color w:val="000000" w:themeColor="text1"/>
        </w:rPr>
      </w:pPr>
      <w:r w:rsidRPr="00D45553">
        <w:rPr>
          <w:bCs/>
          <w:color w:val="000000" w:themeColor="text1"/>
        </w:rPr>
        <w:t xml:space="preserve">STB tarafından, </w:t>
      </w:r>
      <w:r w:rsidR="00D45553" w:rsidRPr="00D45553">
        <w:rPr>
          <w:bCs/>
          <w:color w:val="000000" w:themeColor="text1"/>
        </w:rPr>
        <w:t xml:space="preserve">4.372 adet LPG istasyonunda lisans, sorumlu müdür çalıştırılması gibi hususlarda denetimler gerçekleştirildiği, söz konusu denetimlerde sorumlu müdür çalıştırmayan 30 adet LPG istasyonu ile kaçak tüp </w:t>
      </w:r>
      <w:proofErr w:type="spellStart"/>
      <w:r w:rsidR="00D45553" w:rsidRPr="00D45553">
        <w:rPr>
          <w:bCs/>
          <w:color w:val="000000" w:themeColor="text1"/>
        </w:rPr>
        <w:t>dolumuna</w:t>
      </w:r>
      <w:proofErr w:type="spellEnd"/>
      <w:r w:rsidR="00D45553" w:rsidRPr="00D45553">
        <w:rPr>
          <w:bCs/>
          <w:color w:val="000000" w:themeColor="text1"/>
        </w:rPr>
        <w:t xml:space="preserve"> yarayan 5 adet aparat tespit edildiği,4 adet akaryakıt istasyonunda otomasyon sistemi çalışmadığının tespit edildiği ve uygunsuzluklara ilişkin idari </w:t>
      </w:r>
      <w:proofErr w:type="gramStart"/>
      <w:r w:rsidR="00D45553" w:rsidRPr="00D45553">
        <w:rPr>
          <w:bCs/>
          <w:color w:val="000000" w:themeColor="text1"/>
        </w:rPr>
        <w:t>para  cezasının</w:t>
      </w:r>
      <w:proofErr w:type="gramEnd"/>
      <w:r w:rsidR="00D45553" w:rsidRPr="00D45553">
        <w:rPr>
          <w:bCs/>
          <w:color w:val="000000" w:themeColor="text1"/>
        </w:rPr>
        <w:t xml:space="preserve"> EPDK tarafından uygulandığı ifade edilmiştir.</w:t>
      </w:r>
    </w:p>
    <w:p w:rsidR="001743BE" w:rsidRPr="001743BE" w:rsidRDefault="001743BE" w:rsidP="001743BE">
      <w:pPr>
        <w:pStyle w:val="ListeParagraf"/>
        <w:numPr>
          <w:ilvl w:val="0"/>
          <w:numId w:val="13"/>
        </w:numPr>
        <w:spacing w:after="240"/>
        <w:ind w:left="0" w:firstLine="0"/>
        <w:jc w:val="both"/>
        <w:rPr>
          <w:bCs/>
          <w:color w:val="000000" w:themeColor="text1"/>
        </w:rPr>
      </w:pPr>
      <w:r>
        <w:rPr>
          <w:bCs/>
          <w:color w:val="000000" w:themeColor="text1"/>
        </w:rPr>
        <w:t>SB tarafından iletilen bilgilere göre, mahkemeler/savcılıklar, e</w:t>
      </w:r>
      <w:r w:rsidRPr="001743BE">
        <w:rPr>
          <w:bCs/>
          <w:color w:val="000000" w:themeColor="text1"/>
        </w:rPr>
        <w:t>mniyet/kolluk kuvvetleri, diğer kamu kurum ve kuruluşları tarafından ulaşan ve incelemeler neticesinde sahte/kaçak/taklit olduğu belirlenen 3</w:t>
      </w:r>
      <w:r>
        <w:rPr>
          <w:bCs/>
          <w:color w:val="000000" w:themeColor="text1"/>
        </w:rPr>
        <w:t>.</w:t>
      </w:r>
      <w:r w:rsidRPr="001743BE">
        <w:rPr>
          <w:bCs/>
          <w:color w:val="000000" w:themeColor="text1"/>
        </w:rPr>
        <w:t xml:space="preserve">560 adet ürün 5324 sayılı Kozmetik Kanunu uyarınca güvensiz ürün kapsamına alınmıştır. </w:t>
      </w:r>
      <w:proofErr w:type="gramStart"/>
      <w:r w:rsidRPr="001743BE">
        <w:rPr>
          <w:bCs/>
          <w:color w:val="000000" w:themeColor="text1"/>
        </w:rPr>
        <w:t xml:space="preserve">Ayrıca </w:t>
      </w:r>
      <w:r>
        <w:rPr>
          <w:bCs/>
          <w:color w:val="000000" w:themeColor="text1"/>
        </w:rPr>
        <w:t>m</w:t>
      </w:r>
      <w:r w:rsidRPr="001743BE">
        <w:rPr>
          <w:bCs/>
          <w:color w:val="000000" w:themeColor="text1"/>
        </w:rPr>
        <w:t>ahkemeler/</w:t>
      </w:r>
      <w:r>
        <w:rPr>
          <w:bCs/>
          <w:color w:val="000000" w:themeColor="text1"/>
        </w:rPr>
        <w:t>s</w:t>
      </w:r>
      <w:r w:rsidRPr="001743BE">
        <w:rPr>
          <w:bCs/>
          <w:color w:val="000000" w:themeColor="text1"/>
        </w:rPr>
        <w:t>avcılıklar tarafından Kuruma ulaşan karar neticesinde; üreticisi belli olan ürünler hakkında "Sağlık Bakanlığına bildirimde bulunmaksızın kozmetik ürün (parfü</w:t>
      </w:r>
      <w:r>
        <w:rPr>
          <w:bCs/>
          <w:color w:val="000000" w:themeColor="text1"/>
        </w:rPr>
        <w:t xml:space="preserve">m) üretmekten ibaret eyleminin </w:t>
      </w:r>
      <w:r w:rsidRPr="001743BE">
        <w:rPr>
          <w:bCs/>
          <w:color w:val="000000" w:themeColor="text1"/>
        </w:rPr>
        <w:t>5324 sayılı Kozmetik Kanununun 4/1.a maddesine temas ettiği, bu eylemin 20.000 TL idari para cezasını gerektirdiği" gerekçesine istinaden idari para cezası (1</w:t>
      </w:r>
      <w:r>
        <w:rPr>
          <w:bCs/>
          <w:color w:val="000000" w:themeColor="text1"/>
        </w:rPr>
        <w:t>.</w:t>
      </w:r>
      <w:r w:rsidRPr="001743BE">
        <w:rPr>
          <w:bCs/>
          <w:color w:val="000000" w:themeColor="text1"/>
        </w:rPr>
        <w:t>378 adet ürün için 20.000 TL ve 2</w:t>
      </w:r>
      <w:r>
        <w:rPr>
          <w:bCs/>
          <w:color w:val="000000" w:themeColor="text1"/>
        </w:rPr>
        <w:t>.</w:t>
      </w:r>
      <w:r w:rsidRPr="001743BE">
        <w:rPr>
          <w:bCs/>
          <w:color w:val="000000" w:themeColor="text1"/>
        </w:rPr>
        <w:t xml:space="preserve">020 adet ürün için 20.000 TL olmak üzere) ve imha işlemi uygulanmıştır. </w:t>
      </w:r>
      <w:proofErr w:type="gramEnd"/>
      <w:r w:rsidRPr="001743BE">
        <w:rPr>
          <w:bCs/>
          <w:color w:val="000000" w:themeColor="text1"/>
        </w:rPr>
        <w:t>Ancak üreticileri belli olmayan/ulaşılamayan sahte/kaçak/taklit ürünlere dair idari para cezası işlemi uygulanamamıştır, imha işlemi uygulanmıştır.</w:t>
      </w:r>
    </w:p>
    <w:p w:rsidR="008408F9" w:rsidRPr="008408F9" w:rsidRDefault="008408F9" w:rsidP="00BE41A3">
      <w:pPr>
        <w:ind w:firstLine="709"/>
        <w:rPr>
          <w:color w:val="000000" w:themeColor="text1"/>
        </w:rPr>
      </w:pPr>
    </w:p>
    <w:p w:rsidR="00606A7C" w:rsidRPr="006D3C51" w:rsidRDefault="00606A7C" w:rsidP="006D3C51">
      <w:pPr>
        <w:pStyle w:val="Balk1"/>
        <w:numPr>
          <w:ilvl w:val="0"/>
          <w:numId w:val="34"/>
        </w:numPr>
        <w:rPr>
          <w:color w:val="000000" w:themeColor="text1"/>
        </w:rPr>
      </w:pPr>
      <w:bookmarkStart w:id="21" w:name="_Toc4892871"/>
      <w:r w:rsidRPr="006D3C51">
        <w:rPr>
          <w:color w:val="000000" w:themeColor="text1"/>
        </w:rPr>
        <w:t>ALINAN ÖNLEMLER</w:t>
      </w:r>
      <w:bookmarkEnd w:id="21"/>
    </w:p>
    <w:p w:rsidR="00606A7C" w:rsidRPr="008408F9" w:rsidRDefault="00606A7C" w:rsidP="00BE41A3">
      <w:pPr>
        <w:ind w:firstLine="709"/>
        <w:rPr>
          <w:color w:val="000000" w:themeColor="text1"/>
        </w:rPr>
      </w:pPr>
    </w:p>
    <w:p w:rsidR="00606A7C" w:rsidRDefault="00606A7C" w:rsidP="00BE41A3">
      <w:pPr>
        <w:spacing w:after="240"/>
        <w:ind w:firstLine="709"/>
        <w:jc w:val="both"/>
        <w:rPr>
          <w:color w:val="000000" w:themeColor="text1"/>
        </w:rPr>
      </w:pPr>
      <w:r w:rsidRPr="000D0698">
        <w:t xml:space="preserve">PGD faaliyetlerinin en önemli amaçlarından biri piyasadaki güvensiz ürünleri tespit ederek önlem almak ve vatandaşların güvensiz ürünlerden zarar görmesini engellemektir. Bu kapsamda, “Alınan Önlemler” bölümünde </w:t>
      </w:r>
      <w:r w:rsidRPr="000D0698">
        <w:rPr>
          <w:color w:val="000000" w:themeColor="text1"/>
        </w:rPr>
        <w:t>güvensiz olduğu tespit edilen ürünlere yönelik olarak kuruluşlar tarafından uygulanan “p</w:t>
      </w:r>
      <w:r w:rsidRPr="000D0698">
        <w:rPr>
          <w:bCs/>
          <w:color w:val="000000" w:themeColor="text1"/>
        </w:rPr>
        <w:t xml:space="preserve">iyasadan toplatma”, “piyasaya arzı yasaklama/geçici olarak durdurma”, “imha” ile “düzeltici </w:t>
      </w:r>
      <w:proofErr w:type="spellStart"/>
      <w:r w:rsidRPr="000D0698">
        <w:rPr>
          <w:bCs/>
          <w:color w:val="000000" w:themeColor="text1"/>
        </w:rPr>
        <w:t>önlem”lere</w:t>
      </w:r>
      <w:proofErr w:type="spellEnd"/>
      <w:r w:rsidRPr="000D0698">
        <w:rPr>
          <w:bCs/>
          <w:color w:val="000000" w:themeColor="text1"/>
        </w:rPr>
        <w:t xml:space="preserve"> dair sayısal verilere yer verilmektedir.</w:t>
      </w:r>
    </w:p>
    <w:p w:rsidR="00606A7C" w:rsidRDefault="00606A7C" w:rsidP="00BE41A3">
      <w:pPr>
        <w:ind w:firstLine="709"/>
        <w:jc w:val="both"/>
        <w:rPr>
          <w:color w:val="000000" w:themeColor="text1"/>
        </w:rPr>
      </w:pPr>
    </w:p>
    <w:p w:rsidR="00606A7C" w:rsidRPr="003A6723" w:rsidRDefault="00C24885" w:rsidP="00BE41A3">
      <w:pPr>
        <w:spacing w:after="240"/>
        <w:jc w:val="both"/>
      </w:pPr>
      <w:r>
        <w:rPr>
          <w:noProof/>
          <w:lang w:eastAsia="tr-TR"/>
        </w:rPr>
        <w:lastRenderedPageBreak/>
        <w:drawing>
          <wp:inline distT="0" distB="0" distL="0" distR="0">
            <wp:extent cx="5705475" cy="3543301"/>
            <wp:effectExtent l="57150" t="57150" r="28575" b="1905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06A7C" w:rsidRPr="00D31718" w:rsidRDefault="00606A7C" w:rsidP="006527E1">
      <w:pPr>
        <w:numPr>
          <w:ilvl w:val="0"/>
          <w:numId w:val="14"/>
        </w:numPr>
        <w:spacing w:after="240"/>
        <w:ind w:left="0" w:firstLine="0"/>
        <w:jc w:val="both"/>
        <w:rPr>
          <w:color w:val="000000" w:themeColor="text1"/>
        </w:rPr>
      </w:pPr>
      <w:r w:rsidRPr="001F46FE">
        <w:rPr>
          <w:color w:val="000000" w:themeColor="text1"/>
        </w:rPr>
        <w:t>201</w:t>
      </w:r>
      <w:r w:rsidR="00471613">
        <w:rPr>
          <w:color w:val="000000" w:themeColor="text1"/>
        </w:rPr>
        <w:t>9</w:t>
      </w:r>
      <w:r w:rsidRPr="001F46FE">
        <w:rPr>
          <w:color w:val="000000" w:themeColor="text1"/>
        </w:rPr>
        <w:t xml:space="preserve"> yılında tespit </w:t>
      </w:r>
      <w:r w:rsidRPr="008B2319">
        <w:rPr>
          <w:color w:val="000000" w:themeColor="text1"/>
        </w:rPr>
        <w:t>edilen güvensiz ürün partisi sayısın</w:t>
      </w:r>
      <w:r w:rsidR="00456A55" w:rsidRPr="008B2319">
        <w:rPr>
          <w:color w:val="000000" w:themeColor="text1"/>
        </w:rPr>
        <w:t xml:space="preserve">da </w:t>
      </w:r>
      <w:r w:rsidR="003E1C68" w:rsidRPr="008B2319">
        <w:rPr>
          <w:color w:val="000000" w:themeColor="text1"/>
        </w:rPr>
        <w:t>%5</w:t>
      </w:r>
      <w:r w:rsidR="00471613">
        <w:rPr>
          <w:color w:val="000000" w:themeColor="text1"/>
        </w:rPr>
        <w:t>9</w:t>
      </w:r>
      <w:r w:rsidR="00D31718">
        <w:rPr>
          <w:color w:val="000000" w:themeColor="text1"/>
        </w:rPr>
        <w:t xml:space="preserve"> </w:t>
      </w:r>
      <w:r w:rsidRPr="008B2319">
        <w:rPr>
          <w:color w:val="000000" w:themeColor="text1"/>
        </w:rPr>
        <w:t xml:space="preserve">oranında </w:t>
      </w:r>
      <w:r w:rsidR="00456A55" w:rsidRPr="008B2319">
        <w:rPr>
          <w:color w:val="000000" w:themeColor="text1"/>
        </w:rPr>
        <w:t xml:space="preserve">artış görülmektedir. </w:t>
      </w:r>
      <w:r w:rsidRPr="008B2319">
        <w:rPr>
          <w:color w:val="000000" w:themeColor="text1"/>
        </w:rPr>
        <w:t xml:space="preserve">Güvensiz olduğu tespit edilen ürünlerdeki </w:t>
      </w:r>
      <w:r w:rsidR="00456A55" w:rsidRPr="008B2319">
        <w:rPr>
          <w:color w:val="000000" w:themeColor="text1"/>
        </w:rPr>
        <w:t xml:space="preserve">yüksek orandaki bu artışa </w:t>
      </w:r>
      <w:r w:rsidR="000C2BE5">
        <w:rPr>
          <w:color w:val="000000" w:themeColor="text1"/>
        </w:rPr>
        <w:t xml:space="preserve">paralel olarak </w:t>
      </w:r>
      <w:r w:rsidRPr="008B2319">
        <w:rPr>
          <w:color w:val="000000" w:themeColor="text1"/>
        </w:rPr>
        <w:t>önlem uygu</w:t>
      </w:r>
      <w:r w:rsidR="00471613">
        <w:rPr>
          <w:color w:val="000000" w:themeColor="text1"/>
        </w:rPr>
        <w:t xml:space="preserve">lanan güvensiz ürün sayısında </w:t>
      </w:r>
      <w:r w:rsidR="00456A55" w:rsidRPr="008B2319">
        <w:rPr>
          <w:color w:val="000000" w:themeColor="text1"/>
        </w:rPr>
        <w:t>%</w:t>
      </w:r>
      <w:r w:rsidR="00C24885" w:rsidRPr="00D31718">
        <w:rPr>
          <w:color w:val="000000" w:themeColor="text1"/>
        </w:rPr>
        <w:t>33</w:t>
      </w:r>
      <w:r w:rsidR="00B34F25">
        <w:rPr>
          <w:color w:val="000000" w:themeColor="text1"/>
        </w:rPr>
        <w:t xml:space="preserve"> </w:t>
      </w:r>
      <w:r w:rsidR="00456A55" w:rsidRPr="00D31718">
        <w:rPr>
          <w:color w:val="000000" w:themeColor="text1"/>
        </w:rPr>
        <w:t>oranında</w:t>
      </w:r>
      <w:r w:rsidR="00744A3B">
        <w:rPr>
          <w:color w:val="000000" w:themeColor="text1"/>
        </w:rPr>
        <w:t xml:space="preserve"> </w:t>
      </w:r>
      <w:r w:rsidR="00471613" w:rsidRPr="00D31718">
        <w:rPr>
          <w:color w:val="000000" w:themeColor="text1"/>
        </w:rPr>
        <w:t>a</w:t>
      </w:r>
      <w:r w:rsidR="000C2BE5" w:rsidRPr="00D31718">
        <w:rPr>
          <w:color w:val="000000" w:themeColor="text1"/>
        </w:rPr>
        <w:t>rtış</w:t>
      </w:r>
      <w:r w:rsidR="00B34F25">
        <w:rPr>
          <w:color w:val="000000" w:themeColor="text1"/>
        </w:rPr>
        <w:t xml:space="preserve"> </w:t>
      </w:r>
      <w:r w:rsidRPr="00D31718">
        <w:rPr>
          <w:color w:val="000000" w:themeColor="text1"/>
        </w:rPr>
        <w:t>olmuştur. 201</w:t>
      </w:r>
      <w:r w:rsidR="00471613" w:rsidRPr="00D31718">
        <w:rPr>
          <w:color w:val="000000" w:themeColor="text1"/>
        </w:rPr>
        <w:t>9</w:t>
      </w:r>
      <w:r w:rsidRPr="00D31718">
        <w:rPr>
          <w:color w:val="000000" w:themeColor="text1"/>
        </w:rPr>
        <w:t xml:space="preserve"> yılında </w:t>
      </w:r>
      <w:proofErr w:type="spellStart"/>
      <w:r w:rsidRPr="00D31718">
        <w:rPr>
          <w:color w:val="000000" w:themeColor="text1"/>
        </w:rPr>
        <w:t>PGDBİS’e</w:t>
      </w:r>
      <w:proofErr w:type="spellEnd"/>
      <w:r w:rsidRPr="00D31718">
        <w:rPr>
          <w:color w:val="000000" w:themeColor="text1"/>
        </w:rPr>
        <w:t xml:space="preserve"> kaydedilen verilere göre güvensiz ürünlerin yalnızca </w:t>
      </w:r>
      <w:r w:rsidR="003E1C68" w:rsidRPr="00D31718">
        <w:rPr>
          <w:color w:val="000000" w:themeColor="text1"/>
        </w:rPr>
        <w:t>%</w:t>
      </w:r>
      <w:r w:rsidR="000C2BE5" w:rsidRPr="00D31718">
        <w:rPr>
          <w:color w:val="000000" w:themeColor="text1"/>
        </w:rPr>
        <w:t>2</w:t>
      </w:r>
      <w:r w:rsidR="00C24885" w:rsidRPr="00D31718">
        <w:rPr>
          <w:color w:val="000000" w:themeColor="text1"/>
        </w:rPr>
        <w:t>6’sına</w:t>
      </w:r>
      <w:r w:rsidR="00D31718">
        <w:rPr>
          <w:color w:val="000000" w:themeColor="text1"/>
        </w:rPr>
        <w:t xml:space="preserve"> </w:t>
      </w:r>
      <w:r w:rsidRPr="00D31718">
        <w:rPr>
          <w:color w:val="000000" w:themeColor="text1"/>
        </w:rPr>
        <w:t xml:space="preserve">önlem uygulanabilmiştir. </w:t>
      </w:r>
    </w:p>
    <w:p w:rsidR="00C24885" w:rsidRDefault="00456A55" w:rsidP="003838C4">
      <w:pPr>
        <w:numPr>
          <w:ilvl w:val="0"/>
          <w:numId w:val="14"/>
        </w:numPr>
        <w:spacing w:after="240"/>
        <w:ind w:left="0" w:firstLine="0"/>
        <w:jc w:val="both"/>
        <w:rPr>
          <w:color w:val="000000" w:themeColor="text1"/>
        </w:rPr>
      </w:pPr>
      <w:r w:rsidRPr="00D31718">
        <w:rPr>
          <w:color w:val="000000" w:themeColor="text1"/>
        </w:rPr>
        <w:t>201</w:t>
      </w:r>
      <w:r w:rsidR="00471613" w:rsidRPr="00D31718">
        <w:rPr>
          <w:color w:val="000000" w:themeColor="text1"/>
        </w:rPr>
        <w:t>9</w:t>
      </w:r>
      <w:r w:rsidR="00606A7C" w:rsidRPr="00D31718">
        <w:rPr>
          <w:color w:val="000000" w:themeColor="text1"/>
        </w:rPr>
        <w:t xml:space="preserve"> senesinde güvensiz ürünlere yönelik önlem uygulayan kuruluşlar STB, </w:t>
      </w:r>
      <w:r w:rsidRPr="00D31718">
        <w:rPr>
          <w:color w:val="000000" w:themeColor="text1"/>
        </w:rPr>
        <w:t>SB</w:t>
      </w:r>
      <w:r w:rsidR="000C2BE5" w:rsidRPr="00D31718">
        <w:rPr>
          <w:color w:val="000000" w:themeColor="text1"/>
        </w:rPr>
        <w:t>, ÇŞB</w:t>
      </w:r>
      <w:r w:rsidR="00C24885" w:rsidRPr="00D31718">
        <w:rPr>
          <w:color w:val="000000" w:themeColor="text1"/>
        </w:rPr>
        <w:t xml:space="preserve">, </w:t>
      </w:r>
      <w:proofErr w:type="spellStart"/>
      <w:proofErr w:type="gramStart"/>
      <w:r w:rsidR="00C24885" w:rsidRPr="00D31718">
        <w:rPr>
          <w:color w:val="000000" w:themeColor="text1"/>
        </w:rPr>
        <w:t>TKPGGM</w:t>
      </w:r>
      <w:r w:rsidRPr="00D31718">
        <w:rPr>
          <w:color w:val="000000" w:themeColor="text1"/>
        </w:rPr>
        <w:t>ve</w:t>
      </w:r>
      <w:proofErr w:type="spellEnd"/>
      <w:r w:rsidRPr="00D31718">
        <w:rPr>
          <w:color w:val="000000" w:themeColor="text1"/>
        </w:rPr>
        <w:t xml:space="preserve">  TOB</w:t>
      </w:r>
      <w:proofErr w:type="gramEnd"/>
      <w:r w:rsidR="00606A7C" w:rsidRPr="00D31718">
        <w:rPr>
          <w:color w:val="000000" w:themeColor="text1"/>
        </w:rPr>
        <w:t xml:space="preserve"> olmuştur. </w:t>
      </w:r>
      <w:r w:rsidR="000C2BE5" w:rsidRPr="00D31718">
        <w:rPr>
          <w:color w:val="000000" w:themeColor="text1"/>
        </w:rPr>
        <w:t>ÇŞB</w:t>
      </w:r>
      <w:r w:rsidR="00606A7C" w:rsidRPr="00D31718">
        <w:rPr>
          <w:color w:val="000000" w:themeColor="text1"/>
        </w:rPr>
        <w:t xml:space="preserve"> tarafından güvensiz</w:t>
      </w:r>
      <w:r w:rsidR="00606A7C" w:rsidRPr="00670621">
        <w:rPr>
          <w:color w:val="000000" w:themeColor="text1"/>
        </w:rPr>
        <w:t xml:space="preserve"> olduğu </w:t>
      </w:r>
      <w:r w:rsidR="00606A7C" w:rsidRPr="000C2BE5">
        <w:rPr>
          <w:color w:val="000000" w:themeColor="text1"/>
        </w:rPr>
        <w:t xml:space="preserve">tespit edilen </w:t>
      </w:r>
      <w:r w:rsidRPr="000C2BE5">
        <w:rPr>
          <w:color w:val="000000" w:themeColor="text1"/>
        </w:rPr>
        <w:t>ürünlerin</w:t>
      </w:r>
      <w:r w:rsidR="00744A3B">
        <w:rPr>
          <w:color w:val="000000" w:themeColor="text1"/>
        </w:rPr>
        <w:t xml:space="preserve"> </w:t>
      </w:r>
      <w:r w:rsidR="000C2BE5" w:rsidRPr="000C2BE5">
        <w:rPr>
          <w:color w:val="000000" w:themeColor="text1"/>
        </w:rPr>
        <w:t>296 ürün partisinin 2</w:t>
      </w:r>
      <w:r w:rsidR="006D23C8" w:rsidRPr="000C2BE5">
        <w:rPr>
          <w:color w:val="000000" w:themeColor="text1"/>
        </w:rPr>
        <w:t>’</w:t>
      </w:r>
      <w:r w:rsidR="000C2BE5" w:rsidRPr="000C2BE5">
        <w:rPr>
          <w:color w:val="000000" w:themeColor="text1"/>
        </w:rPr>
        <w:t>s</w:t>
      </w:r>
      <w:r w:rsidR="006D23C8" w:rsidRPr="000C2BE5">
        <w:rPr>
          <w:color w:val="000000" w:themeColor="text1"/>
        </w:rPr>
        <w:t>ine, SB</w:t>
      </w:r>
      <w:r w:rsidR="000C2BE5" w:rsidRPr="000C2BE5">
        <w:rPr>
          <w:color w:val="000000" w:themeColor="text1"/>
        </w:rPr>
        <w:t xml:space="preserve"> ve STB</w:t>
      </w:r>
      <w:r w:rsidR="00606A7C" w:rsidRPr="000C2BE5">
        <w:rPr>
          <w:color w:val="000000" w:themeColor="text1"/>
        </w:rPr>
        <w:t xml:space="preserve"> </w:t>
      </w:r>
      <w:proofErr w:type="gramStart"/>
      <w:r w:rsidR="00606A7C" w:rsidRPr="000C2BE5">
        <w:rPr>
          <w:color w:val="000000" w:themeColor="text1"/>
        </w:rPr>
        <w:t>tarafından  güvensiz</w:t>
      </w:r>
      <w:proofErr w:type="gramEnd"/>
      <w:r w:rsidR="00606A7C" w:rsidRPr="000C2BE5">
        <w:rPr>
          <w:color w:val="000000" w:themeColor="text1"/>
        </w:rPr>
        <w:t xml:space="preserve"> olduğu tespit edilen </w:t>
      </w:r>
      <w:r w:rsidR="006D23C8" w:rsidRPr="000C2BE5">
        <w:rPr>
          <w:color w:val="000000" w:themeColor="text1"/>
        </w:rPr>
        <w:t>ürünlerin tamamına</w:t>
      </w:r>
      <w:r w:rsidR="00606A7C" w:rsidRPr="000C2BE5">
        <w:rPr>
          <w:color w:val="000000" w:themeColor="text1"/>
        </w:rPr>
        <w:t xml:space="preserve"> önlem uygulanmıştır. </w:t>
      </w:r>
    </w:p>
    <w:p w:rsidR="00606A7C" w:rsidRPr="00C24885" w:rsidRDefault="00606A7C" w:rsidP="003838C4">
      <w:pPr>
        <w:numPr>
          <w:ilvl w:val="0"/>
          <w:numId w:val="14"/>
        </w:numPr>
        <w:spacing w:after="240"/>
        <w:ind w:left="0" w:firstLine="0"/>
        <w:jc w:val="both"/>
        <w:rPr>
          <w:color w:val="000000" w:themeColor="text1"/>
        </w:rPr>
      </w:pPr>
      <w:r w:rsidRPr="00C24885">
        <w:rPr>
          <w:color w:val="000000" w:themeColor="text1"/>
        </w:rPr>
        <w:t>“gıda, gıda ile temas eden madde ve malzemeler”</w:t>
      </w:r>
      <w:r w:rsidR="002326E9" w:rsidRPr="00C24885">
        <w:rPr>
          <w:color w:val="000000" w:themeColor="text1"/>
        </w:rPr>
        <w:t>, “kimyevi ve or</w:t>
      </w:r>
      <w:r w:rsidR="006D23C8" w:rsidRPr="00C24885">
        <w:rPr>
          <w:color w:val="000000" w:themeColor="text1"/>
        </w:rPr>
        <w:t>g</w:t>
      </w:r>
      <w:r w:rsidR="002326E9" w:rsidRPr="00C24885">
        <w:rPr>
          <w:color w:val="000000" w:themeColor="text1"/>
        </w:rPr>
        <w:t>a</w:t>
      </w:r>
      <w:r w:rsidR="006D23C8" w:rsidRPr="00C24885">
        <w:rPr>
          <w:color w:val="000000" w:themeColor="text1"/>
        </w:rPr>
        <w:t>n</w:t>
      </w:r>
      <w:r w:rsidR="002326E9" w:rsidRPr="00C24885">
        <w:rPr>
          <w:color w:val="000000" w:themeColor="text1"/>
        </w:rPr>
        <w:t xml:space="preserve">ik gübre” ile </w:t>
      </w:r>
      <w:r w:rsidR="00A747BD" w:rsidRPr="00C24885">
        <w:rPr>
          <w:color w:val="000000" w:themeColor="text1"/>
        </w:rPr>
        <w:t xml:space="preserve"> “yem ve yem hammaddeler</w:t>
      </w:r>
      <w:r w:rsidR="002326E9" w:rsidRPr="00C24885">
        <w:rPr>
          <w:color w:val="000000" w:themeColor="text1"/>
        </w:rPr>
        <w:t xml:space="preserve">i” ürün </w:t>
      </w:r>
      <w:proofErr w:type="spellStart"/>
      <w:r w:rsidR="002326E9" w:rsidRPr="00C24885">
        <w:rPr>
          <w:color w:val="000000" w:themeColor="text1"/>
        </w:rPr>
        <w:t>gruplarında</w:t>
      </w:r>
      <w:r w:rsidR="006A3CE9" w:rsidRPr="00C24885">
        <w:rPr>
          <w:color w:val="000000" w:themeColor="text1"/>
        </w:rPr>
        <w:t>yapılan</w:t>
      </w:r>
      <w:proofErr w:type="spellEnd"/>
      <w:r w:rsidR="006A3CE9" w:rsidRPr="00C24885">
        <w:rPr>
          <w:color w:val="000000" w:themeColor="text1"/>
        </w:rPr>
        <w:t xml:space="preserve"> denetimlerde </w:t>
      </w:r>
      <w:r w:rsidR="006D23C8" w:rsidRPr="00C24885">
        <w:rPr>
          <w:color w:val="000000" w:themeColor="text1"/>
        </w:rPr>
        <w:t xml:space="preserve">TOB </w:t>
      </w:r>
      <w:proofErr w:type="gramStart"/>
      <w:r w:rsidR="006D23C8" w:rsidRPr="00C24885">
        <w:rPr>
          <w:color w:val="000000" w:themeColor="text1"/>
        </w:rPr>
        <w:t>tarafından  1</w:t>
      </w:r>
      <w:proofErr w:type="gramEnd"/>
      <w:r w:rsidR="006D23C8" w:rsidRPr="00C24885">
        <w:rPr>
          <w:color w:val="000000" w:themeColor="text1"/>
        </w:rPr>
        <w:t>.222 adet güvensizlik tespit edilmiş ve güvensizlik</w:t>
      </w:r>
      <w:r w:rsidR="002326E9" w:rsidRPr="00C24885">
        <w:rPr>
          <w:color w:val="000000" w:themeColor="text1"/>
        </w:rPr>
        <w:t xml:space="preserve"> tespit edilen ürün parti</w:t>
      </w:r>
      <w:r w:rsidR="000C2BE5" w:rsidRPr="00C24885">
        <w:rPr>
          <w:color w:val="000000" w:themeColor="text1"/>
        </w:rPr>
        <w:t>lerinin 34</w:t>
      </w:r>
      <w:r w:rsidR="002326E9" w:rsidRPr="00C24885">
        <w:rPr>
          <w:color w:val="000000" w:themeColor="text1"/>
        </w:rPr>
        <w:t>’üne önlem uygulanmış</w:t>
      </w:r>
      <w:r w:rsidR="006D23C8" w:rsidRPr="00C24885">
        <w:rPr>
          <w:color w:val="000000" w:themeColor="text1"/>
        </w:rPr>
        <w:t>tır.</w:t>
      </w:r>
      <w:r w:rsidR="000C2BE5" w:rsidRPr="00C24885">
        <w:rPr>
          <w:color w:val="000000" w:themeColor="text1"/>
        </w:rPr>
        <w:t xml:space="preserve"> Bakanlıkça önlem alındığı</w:t>
      </w:r>
      <w:r w:rsidR="006D23C8" w:rsidRPr="00C24885">
        <w:rPr>
          <w:color w:val="000000" w:themeColor="text1"/>
        </w:rPr>
        <w:t xml:space="preserve"> bildirilen ürün grubu yalnızca  “kimyevi ve organik gübre” ürün grubuna </w:t>
      </w:r>
      <w:proofErr w:type="spellStart"/>
      <w:proofErr w:type="gramStart"/>
      <w:r w:rsidR="006D23C8" w:rsidRPr="00C24885">
        <w:rPr>
          <w:color w:val="000000" w:themeColor="text1"/>
        </w:rPr>
        <w:t>yöneliktir.</w:t>
      </w:r>
      <w:r w:rsidRPr="00C24885">
        <w:rPr>
          <w:color w:val="000000" w:themeColor="text1"/>
        </w:rPr>
        <w:t>Gıda</w:t>
      </w:r>
      <w:proofErr w:type="spellEnd"/>
      <w:proofErr w:type="gramEnd"/>
      <w:r w:rsidRPr="00C24885">
        <w:rPr>
          <w:color w:val="000000" w:themeColor="text1"/>
        </w:rPr>
        <w:t xml:space="preserve"> maddeleri gibi tüketici sağlığını doğrudan etkileyen bir ürün grubunda, gerek denetim sonuçlarının değerlendirilmesi</w:t>
      </w:r>
      <w:r w:rsidR="00EB79A3" w:rsidRPr="00C24885">
        <w:rPr>
          <w:color w:val="000000" w:themeColor="text1"/>
        </w:rPr>
        <w:t>,</w:t>
      </w:r>
      <w:r w:rsidRPr="00C24885">
        <w:rPr>
          <w:color w:val="000000" w:themeColor="text1"/>
        </w:rPr>
        <w:t xml:space="preserve"> gerekse gelecek yıllarda gerçekleştirilecek denetimlerin programlanması açısından büyük önem arz eden  güvensiz ürün verisinin </w:t>
      </w:r>
      <w:r w:rsidR="00B7389C" w:rsidRPr="00C24885">
        <w:rPr>
          <w:color w:val="000000" w:themeColor="text1"/>
        </w:rPr>
        <w:t xml:space="preserve">mezkur </w:t>
      </w:r>
      <w:r w:rsidRPr="00C24885">
        <w:rPr>
          <w:color w:val="000000" w:themeColor="text1"/>
        </w:rPr>
        <w:t xml:space="preserve">Bakanlıkça </w:t>
      </w:r>
      <w:r w:rsidR="00B7389C" w:rsidRPr="00C24885">
        <w:rPr>
          <w:color w:val="000000" w:themeColor="text1"/>
        </w:rPr>
        <w:t>paylaşıl</w:t>
      </w:r>
      <w:r w:rsidR="002326E9" w:rsidRPr="00C24885">
        <w:rPr>
          <w:color w:val="000000" w:themeColor="text1"/>
        </w:rPr>
        <w:t>mış olması olumlu değerlendirilmektedir.</w:t>
      </w:r>
      <w:r w:rsidR="006D23C8" w:rsidRPr="00C24885">
        <w:rPr>
          <w:color w:val="000000" w:themeColor="text1"/>
        </w:rPr>
        <w:t xml:space="preserve"> Ancak bahse konu ürün grubunda </w:t>
      </w:r>
      <w:r w:rsidR="003E444F" w:rsidRPr="00C24885">
        <w:rPr>
          <w:color w:val="000000" w:themeColor="text1"/>
        </w:rPr>
        <w:t>1.211 güvensizlik olmasına karşın önlemlerin iletilmemesi olumsuz olmuştur.</w:t>
      </w:r>
      <w:r w:rsidR="003838C4" w:rsidRPr="00C24885">
        <w:rPr>
          <w:color w:val="000000" w:themeColor="text1"/>
        </w:rPr>
        <w:t xml:space="preserve"> Kimyevi organik gübre denetimlerinde, </w:t>
      </w:r>
      <w:r w:rsidR="003E444F" w:rsidRPr="00C24885">
        <w:rPr>
          <w:color w:val="000000" w:themeColor="text1"/>
        </w:rPr>
        <w:t xml:space="preserve">2019 yılında tespit edilen güvensizliklerin yalnızca 1 tanesi ithal edilen ürün partisinden kaynaklıdır, diğer </w:t>
      </w:r>
      <w:proofErr w:type="spellStart"/>
      <w:r w:rsidR="003E444F" w:rsidRPr="00C24885">
        <w:rPr>
          <w:color w:val="000000" w:themeColor="text1"/>
        </w:rPr>
        <w:t>güvensizikler</w:t>
      </w:r>
      <w:proofErr w:type="spellEnd"/>
      <w:r w:rsidR="003838C4" w:rsidRPr="00C24885">
        <w:rPr>
          <w:color w:val="000000" w:themeColor="text1"/>
        </w:rPr>
        <w:t xml:space="preserve"> yerli ürün partileridir. </w:t>
      </w:r>
      <w:r w:rsidR="003E444F" w:rsidRPr="00C24885">
        <w:rPr>
          <w:color w:val="000000" w:themeColor="text1"/>
        </w:rPr>
        <w:t>Söz konusu ürün grubu denetimlerinde tespit edilen güvensizlikler için 266.484</w:t>
      </w:r>
      <w:r w:rsidR="003838C4" w:rsidRPr="00C24885">
        <w:rPr>
          <w:color w:val="000000" w:themeColor="text1"/>
        </w:rPr>
        <w:t xml:space="preserve"> TL idari para cezası kesilmiştir. </w:t>
      </w:r>
      <w:r w:rsidR="003E444F" w:rsidRPr="00C24885">
        <w:rPr>
          <w:color w:val="000000" w:themeColor="text1"/>
        </w:rPr>
        <w:t>Bununla birlikte tespit edilen 159 adet uygunsuzluktan 139’una 1.676.813 TL idari para cezası kesilmiştir.</w:t>
      </w:r>
    </w:p>
    <w:p w:rsidR="00606A7C" w:rsidRPr="00AE1321" w:rsidRDefault="006527E1" w:rsidP="006527E1">
      <w:pPr>
        <w:pStyle w:val="ListeParagraf"/>
        <w:numPr>
          <w:ilvl w:val="0"/>
          <w:numId w:val="14"/>
        </w:numPr>
        <w:spacing w:after="240"/>
        <w:ind w:left="0" w:firstLine="0"/>
        <w:jc w:val="both"/>
      </w:pPr>
      <w:r w:rsidRPr="000C2BE5">
        <w:t xml:space="preserve">PGD </w:t>
      </w:r>
      <w:r w:rsidR="00606A7C" w:rsidRPr="000C2BE5">
        <w:t>Kuruluşları tarafından bu alanda sağlanan veriler incelendiğinde, önlemlerle ilgili en önemli hususlardan birinin, önlem alınan ürün partileriyle ilgili olarak piyasaya arz edilen ürün ve önlem alınan ürün miktarı bilgisinin pek çok kuruluş tarafından bilinmemesi olduğu görülmektedir. Ekte yer alan tabloların tetkikinden de anlaşılacağı</w:t>
      </w:r>
      <w:r w:rsidR="00606A7C" w:rsidRPr="00AE1321">
        <w:t xml:space="preserve"> üzere, alınan önlemlere ilişkin verilerin çok sınırlı ürünl</w:t>
      </w:r>
      <w:r w:rsidR="005D1A4E" w:rsidRPr="00AE1321">
        <w:t>ere ilişkin sağlanabildiği, bir</w:t>
      </w:r>
      <w:r w:rsidR="00606A7C" w:rsidRPr="00AE1321">
        <w:t xml:space="preserve">çok ürün partisinin piyasaya arz edilen ve piyasadan </w:t>
      </w:r>
      <w:r w:rsidR="00606A7C" w:rsidRPr="00AE1321">
        <w:lastRenderedPageBreak/>
        <w:t xml:space="preserve">toplatılan miktarlarına ulaşılamadığı görülmektedir. </w:t>
      </w:r>
      <w:proofErr w:type="gramStart"/>
      <w:r w:rsidR="00606A7C" w:rsidRPr="00AE1321">
        <w:t xml:space="preserve">Bu bilgilerin üretici beyanına bağlı olması, güvensiz ürünleri elinde bulunduran tüketicilerin bu ürünleri iade etmek üzere başvuruda bulunmamış olmaları ve güvensizlik tespiti sonucunda verilen piyasaya arz yasağı, toplatma ve/veya bertaraf kararlarının gereklerinin yerine getirilip getirilmediğinin takibi için üreticiye yasal olarak süre </w:t>
      </w:r>
      <w:proofErr w:type="spellStart"/>
      <w:r w:rsidR="00606A7C" w:rsidRPr="00AE1321">
        <w:t>tanın</w:t>
      </w:r>
      <w:r w:rsidR="00072488" w:rsidRPr="00AE1321">
        <w:t>ma</w:t>
      </w:r>
      <w:r w:rsidR="00606A7C" w:rsidRPr="00AE1321">
        <w:t>masıgüvensiz</w:t>
      </w:r>
      <w:proofErr w:type="spellEnd"/>
      <w:r w:rsidR="00606A7C" w:rsidRPr="00AE1321">
        <w:t xml:space="preserve"> bulunan ürünlere ilişkin idari yaptırım bilgilerinin tam olarak elde edilememesinin temel sebepleri olarak görülmektedir. </w:t>
      </w:r>
      <w:proofErr w:type="gramEnd"/>
    </w:p>
    <w:p w:rsidR="00606A7C" w:rsidRPr="00AE1321" w:rsidRDefault="00606A7C" w:rsidP="00BE41A3">
      <w:pPr>
        <w:spacing w:after="240"/>
        <w:ind w:firstLine="709"/>
        <w:jc w:val="both"/>
      </w:pPr>
      <w:r w:rsidRPr="00AE1321">
        <w:t xml:space="preserve">Bu durum, PGD kuruluşlarının müeyyide uygulama ve takip kapasitelerinin yeterli olmadığı ve alınan önlemlerle güvensiz ürünlerin piyasada yer almasının önüne geçilemediği sonucunu ortaya çıkarmaktadır. Bu husus belki de PGD uygulamalarının en can alıcı noktasını oluşturan ve potansiyel olarak </w:t>
      </w:r>
      <w:proofErr w:type="spellStart"/>
      <w:r w:rsidRPr="00AE1321">
        <w:t>İPC’lere</w:t>
      </w:r>
      <w:proofErr w:type="spellEnd"/>
      <w:r w:rsidRPr="00AE1321">
        <w:t xml:space="preserve"> nazaran çok daha büyük caydırıcı etkisi olan önlem mekanizmasının bir türlü istenilen seviyede uygulanamamakta olduğunu göstermektedir.</w:t>
      </w:r>
    </w:p>
    <w:p w:rsidR="00606A7C" w:rsidRPr="00AE1321" w:rsidRDefault="00606A7C" w:rsidP="00BE41A3">
      <w:pPr>
        <w:pStyle w:val="ListeParagraf"/>
        <w:spacing w:after="240"/>
        <w:ind w:left="0" w:firstLine="709"/>
        <w:jc w:val="both"/>
      </w:pPr>
      <w:r w:rsidRPr="00AE1321">
        <w:t xml:space="preserve">Bu sorunun ülkemizdeki PGD sisteminin etkin bir biçimde işlemesi önündeki temel </w:t>
      </w:r>
      <w:proofErr w:type="spellStart"/>
      <w:r w:rsidRPr="00AE1321">
        <w:t>engellerdenbiri</w:t>
      </w:r>
      <w:proofErr w:type="spellEnd"/>
      <w:r w:rsidRPr="00AE1321">
        <w:t xml:space="preserve"> olduğu değerlendirilmekte olup, daha sağlıklı veri toplanması ve tüketicilerin güvensiz ürünlerden etkin bir biçimde korunması için ilgili mevzuat ve idari yapılanmada gerekli değişikliklerin yapılması önem arz etmektedir. </w:t>
      </w:r>
    </w:p>
    <w:p w:rsidR="00606A7C" w:rsidRDefault="00606A7C" w:rsidP="00BE41A3">
      <w:pPr>
        <w:pStyle w:val="ListeParagraf"/>
        <w:spacing w:after="240"/>
        <w:ind w:left="0" w:firstLine="709"/>
        <w:jc w:val="both"/>
      </w:pPr>
      <w:r w:rsidRPr="00AE1321">
        <w:t>Piy</w:t>
      </w:r>
      <w:r w:rsidR="003E2116" w:rsidRPr="00AE1321">
        <w:t>asaya arz edilen güvensiz ürünle</w:t>
      </w:r>
      <w:r w:rsidRPr="00AE1321">
        <w:t xml:space="preserve">rin tamamına önlem uygulanabilmesi için, ürünlerin izlenebilirliğinin sağlanmasına yönelik hukuki düzenlemelerin hayata geçirilmesi </w:t>
      </w:r>
      <w:r w:rsidR="00E1101E" w:rsidRPr="00AE1321">
        <w:t>elzemdir.</w:t>
      </w:r>
    </w:p>
    <w:p w:rsidR="00606A7C" w:rsidRPr="006D3C51" w:rsidRDefault="00606A7C" w:rsidP="006D3C51">
      <w:pPr>
        <w:pStyle w:val="Balk1"/>
        <w:numPr>
          <w:ilvl w:val="0"/>
          <w:numId w:val="37"/>
        </w:numPr>
      </w:pPr>
      <w:bookmarkStart w:id="22" w:name="_Toc4892872"/>
      <w:r w:rsidRPr="006D3C51">
        <w:t>SONUÇ VE ÖNERİLER</w:t>
      </w:r>
      <w:bookmarkEnd w:id="22"/>
    </w:p>
    <w:p w:rsidR="00606A7C" w:rsidRPr="000A0093" w:rsidRDefault="00606A7C" w:rsidP="00BE41A3">
      <w:pPr>
        <w:keepNext/>
        <w:ind w:firstLine="709"/>
        <w:jc w:val="both"/>
        <w:outlineLvl w:val="0"/>
        <w:rPr>
          <w:b/>
          <w:color w:val="000000" w:themeColor="text1"/>
        </w:rPr>
      </w:pPr>
    </w:p>
    <w:p w:rsidR="00606A7C" w:rsidRPr="000A0093" w:rsidRDefault="00606A7C" w:rsidP="00BE41A3">
      <w:pPr>
        <w:spacing w:after="240"/>
        <w:ind w:firstLine="709"/>
        <w:jc w:val="both"/>
        <w:rPr>
          <w:color w:val="000000" w:themeColor="text1"/>
        </w:rPr>
      </w:pPr>
      <w:r w:rsidRPr="000A0093">
        <w:rPr>
          <w:color w:val="000000" w:themeColor="text1"/>
        </w:rPr>
        <w:t>Raporda yer alan tespitler ışığında, ülkemizdeki PGD sisteminin mevcut durumu ve bu sistemin geliştirilmesine dair öneriler aşağıda sıralanmaktadır:</w:t>
      </w:r>
    </w:p>
    <w:p w:rsidR="00606A7C" w:rsidRPr="000A0093" w:rsidRDefault="00A4114B" w:rsidP="006527E1">
      <w:pPr>
        <w:numPr>
          <w:ilvl w:val="0"/>
          <w:numId w:val="4"/>
        </w:numPr>
        <w:spacing w:after="240"/>
        <w:ind w:left="0" w:firstLine="0"/>
        <w:jc w:val="both"/>
        <w:rPr>
          <w:color w:val="000000" w:themeColor="text1"/>
        </w:rPr>
      </w:pPr>
      <w:r>
        <w:rPr>
          <w:color w:val="000000" w:themeColor="text1"/>
        </w:rPr>
        <w:t>201</w:t>
      </w:r>
      <w:r w:rsidR="00D10F26">
        <w:rPr>
          <w:color w:val="000000" w:themeColor="text1"/>
        </w:rPr>
        <w:t>9</w:t>
      </w:r>
      <w:r w:rsidR="00577DB0">
        <w:rPr>
          <w:color w:val="000000" w:themeColor="text1"/>
        </w:rPr>
        <w:t xml:space="preserve"> yılında </w:t>
      </w:r>
      <w:r w:rsidR="00606A7C" w:rsidRPr="0059012E">
        <w:rPr>
          <w:color w:val="000000" w:themeColor="text1"/>
        </w:rPr>
        <w:t xml:space="preserve">bazı kuruluşların </w:t>
      </w:r>
      <w:r>
        <w:rPr>
          <w:color w:val="000000" w:themeColor="text1"/>
        </w:rPr>
        <w:t xml:space="preserve">PGD faaliyetlerine ayırdıkları bütçeyi </w:t>
      </w:r>
      <w:r w:rsidR="00606A7C" w:rsidRPr="0059012E">
        <w:rPr>
          <w:color w:val="000000" w:themeColor="text1"/>
        </w:rPr>
        <w:t xml:space="preserve">net bir biçimde ortaya koyamadıkları </w:t>
      </w:r>
      <w:r>
        <w:rPr>
          <w:color w:val="000000" w:themeColor="text1"/>
        </w:rPr>
        <w:t>görülmektedir. Bu durumun</w:t>
      </w:r>
      <w:r w:rsidR="000800D5">
        <w:rPr>
          <w:color w:val="000000" w:themeColor="text1"/>
        </w:rPr>
        <w:t>,</w:t>
      </w:r>
      <w:r>
        <w:rPr>
          <w:color w:val="000000" w:themeColor="text1"/>
        </w:rPr>
        <w:t xml:space="preserve"> genel olarak PGD faaliyetlerine özgü bir bütçe kodu olmamasından ve PGD </w:t>
      </w:r>
      <w:r w:rsidRPr="000A0093">
        <w:rPr>
          <w:color w:val="000000" w:themeColor="text1"/>
        </w:rPr>
        <w:t>kuruluşlarının bir kısmında PGD faaliyetl</w:t>
      </w:r>
      <w:r w:rsidR="000800D5" w:rsidRPr="000A0093">
        <w:rPr>
          <w:color w:val="000000" w:themeColor="text1"/>
        </w:rPr>
        <w:t xml:space="preserve">erini gerçekleştiren </w:t>
      </w:r>
      <w:proofErr w:type="spellStart"/>
      <w:r w:rsidR="000800D5" w:rsidRPr="000A0093">
        <w:rPr>
          <w:color w:val="000000" w:themeColor="text1"/>
        </w:rPr>
        <w:t>birimlerin</w:t>
      </w:r>
      <w:r w:rsidRPr="000A0093">
        <w:rPr>
          <w:color w:val="000000" w:themeColor="text1"/>
        </w:rPr>
        <w:t>PGD’nin</w:t>
      </w:r>
      <w:proofErr w:type="spellEnd"/>
      <w:r w:rsidRPr="000A0093">
        <w:rPr>
          <w:color w:val="000000" w:themeColor="text1"/>
        </w:rPr>
        <w:t xml:space="preserve"> yan</w:t>
      </w:r>
      <w:r w:rsidR="000800D5" w:rsidRPr="000A0093">
        <w:rPr>
          <w:color w:val="000000" w:themeColor="text1"/>
        </w:rPr>
        <w:t>ı sıra başka görev ve sorumlulu</w:t>
      </w:r>
      <w:r w:rsidRPr="000A0093">
        <w:rPr>
          <w:color w:val="000000" w:themeColor="text1"/>
        </w:rPr>
        <w:t xml:space="preserve">kları icra </w:t>
      </w:r>
      <w:r w:rsidR="000800D5" w:rsidRPr="000A0093">
        <w:rPr>
          <w:color w:val="000000" w:themeColor="text1"/>
        </w:rPr>
        <w:t xml:space="preserve">ederken </w:t>
      </w:r>
      <w:r w:rsidRPr="000A0093">
        <w:rPr>
          <w:color w:val="000000" w:themeColor="text1"/>
        </w:rPr>
        <w:t>bütçeyi bu görevler arasında net olarak ayrıştıramamasından kaynaklanmakta olduğu değerlendirilmektedir. Ancak</w:t>
      </w:r>
      <w:r w:rsidR="000800D5" w:rsidRPr="000A0093">
        <w:rPr>
          <w:color w:val="000000" w:themeColor="text1"/>
        </w:rPr>
        <w:t>,</w:t>
      </w:r>
      <w:r w:rsidRPr="000A0093">
        <w:rPr>
          <w:color w:val="000000" w:themeColor="text1"/>
        </w:rPr>
        <w:t xml:space="preserve"> faaliyetlerin sağlıklı bir biçimde planlan</w:t>
      </w:r>
      <w:r w:rsidR="000800D5" w:rsidRPr="000A0093">
        <w:rPr>
          <w:color w:val="000000" w:themeColor="text1"/>
        </w:rPr>
        <w:t xml:space="preserve">ması ve etkinliğin arttırılması; </w:t>
      </w:r>
      <w:r w:rsidRPr="000A0093">
        <w:rPr>
          <w:color w:val="000000" w:themeColor="text1"/>
        </w:rPr>
        <w:t>m</w:t>
      </w:r>
      <w:r w:rsidR="00606A7C" w:rsidRPr="000A0093">
        <w:rPr>
          <w:color w:val="000000" w:themeColor="text1"/>
        </w:rPr>
        <w:t>evcut kaynakların doğru bir biçimde belirlen</w:t>
      </w:r>
      <w:r w:rsidRPr="000A0093">
        <w:rPr>
          <w:color w:val="000000" w:themeColor="text1"/>
        </w:rPr>
        <w:t xml:space="preserve">diği bir ortamda mümkündür. </w:t>
      </w:r>
      <w:r w:rsidR="00606A7C" w:rsidRPr="000A0093">
        <w:rPr>
          <w:color w:val="000000" w:themeColor="text1"/>
        </w:rPr>
        <w:t>Bu nedenle</w:t>
      </w:r>
      <w:r w:rsidR="000800D5" w:rsidRPr="000A0093">
        <w:rPr>
          <w:color w:val="000000" w:themeColor="text1"/>
        </w:rPr>
        <w:t>,</w:t>
      </w:r>
      <w:r w:rsidR="00606A7C" w:rsidRPr="000A0093">
        <w:rPr>
          <w:color w:val="000000" w:themeColor="text1"/>
        </w:rPr>
        <w:t xml:space="preserve"> başta bütçe miktarı ve personel yapısı olmak </w:t>
      </w:r>
      <w:proofErr w:type="spellStart"/>
      <w:proofErr w:type="gramStart"/>
      <w:r w:rsidR="00606A7C" w:rsidRPr="000A0093">
        <w:rPr>
          <w:color w:val="000000" w:themeColor="text1"/>
        </w:rPr>
        <w:t>üzere</w:t>
      </w:r>
      <w:r w:rsidR="000800D5" w:rsidRPr="000A0093">
        <w:rPr>
          <w:color w:val="000000" w:themeColor="text1"/>
        </w:rPr>
        <w:t>,</w:t>
      </w:r>
      <w:r w:rsidR="00606A7C" w:rsidRPr="000A0093">
        <w:rPr>
          <w:color w:val="000000" w:themeColor="text1"/>
        </w:rPr>
        <w:t>PGD’ye</w:t>
      </w:r>
      <w:proofErr w:type="spellEnd"/>
      <w:proofErr w:type="gramEnd"/>
      <w:r w:rsidR="00606A7C" w:rsidRPr="000A0093">
        <w:rPr>
          <w:color w:val="000000" w:themeColor="text1"/>
        </w:rPr>
        <w:t xml:space="preserve"> ayrılan tüm kaynağın en doğru biçimde ölçülmesi için gerekli mekanizmalar oluşturulmalıdır. </w:t>
      </w:r>
    </w:p>
    <w:p w:rsidR="0089104A" w:rsidRPr="0089104A" w:rsidRDefault="00A51C94" w:rsidP="0089104A">
      <w:pPr>
        <w:numPr>
          <w:ilvl w:val="0"/>
          <w:numId w:val="4"/>
        </w:numPr>
        <w:spacing w:after="240"/>
        <w:ind w:left="0" w:firstLine="0"/>
        <w:jc w:val="both"/>
        <w:rPr>
          <w:color w:val="000000" w:themeColor="text1"/>
        </w:rPr>
      </w:pPr>
      <w:r w:rsidRPr="000A0093">
        <w:rPr>
          <w:color w:val="000000" w:themeColor="text1"/>
        </w:rPr>
        <w:t>Ürün çeşitliliğinin ve miktarının her geçen gün artmakta olduğu göz önüne alındığında, PGD kuruluşl</w:t>
      </w:r>
      <w:r w:rsidR="005465E3" w:rsidRPr="000A0093">
        <w:rPr>
          <w:color w:val="000000" w:themeColor="text1"/>
        </w:rPr>
        <w:t xml:space="preserve">arı tarafından gerçekleştirilen denetimlerin de, özellikle yeni ürün grupları ve riskler göz önünde bulundurularak, artması beklenmektedir. </w:t>
      </w:r>
      <w:proofErr w:type="spellStart"/>
      <w:proofErr w:type="gramStart"/>
      <w:r w:rsidR="005465E3" w:rsidRPr="000A0093">
        <w:rPr>
          <w:color w:val="000000" w:themeColor="text1"/>
        </w:rPr>
        <w:t>Ancak</w:t>
      </w:r>
      <w:r w:rsidR="00AB2217" w:rsidRPr="000A0093">
        <w:rPr>
          <w:color w:val="000000" w:themeColor="text1"/>
        </w:rPr>
        <w:t>,</w:t>
      </w:r>
      <w:r w:rsidR="00C24885">
        <w:rPr>
          <w:color w:val="000000" w:themeColor="text1"/>
        </w:rPr>
        <w:t>t</w:t>
      </w:r>
      <w:r w:rsidR="0089104A" w:rsidRPr="0089104A">
        <w:rPr>
          <w:color w:val="000000" w:themeColor="text1"/>
        </w:rPr>
        <w:t>oplam</w:t>
      </w:r>
      <w:proofErr w:type="spellEnd"/>
      <w:proofErr w:type="gramEnd"/>
      <w:r w:rsidR="0089104A" w:rsidRPr="0089104A">
        <w:rPr>
          <w:color w:val="000000" w:themeColor="text1"/>
        </w:rPr>
        <w:t xml:space="preserve"> denetlenen ürün parti sayısı 2018 yılına göre %11 artarak 267.594’e yükselmiştir. Denetlenen ürün sayısındaki artış güvensiz</w:t>
      </w:r>
      <w:r w:rsidR="0089104A" w:rsidRPr="00EC70C7">
        <w:rPr>
          <w:rStyle w:val="DipnotBavurusu"/>
          <w:color w:val="000000" w:themeColor="text1"/>
        </w:rPr>
        <w:footnoteReference w:id="4"/>
      </w:r>
      <w:r w:rsidR="0089104A" w:rsidRPr="0089104A">
        <w:rPr>
          <w:color w:val="000000" w:themeColor="text1"/>
        </w:rPr>
        <w:t xml:space="preserve"> ürün parti sayısına da yansımış ve güvensiz bulunan ürün parti sayısı %58 oranında artarak 1.832 olarak gerçekleşmiştir. Uygunsuz bulunan ürün parti sayısı ise %12 oranında azalarak 29.403 olarak gerçekleşmiştir</w:t>
      </w:r>
      <w:r w:rsidR="0089104A">
        <w:rPr>
          <w:color w:val="000000" w:themeColor="text1"/>
        </w:rPr>
        <w:t xml:space="preserve">. </w:t>
      </w:r>
      <w:r w:rsidR="00AB2217" w:rsidRPr="000A0093">
        <w:rPr>
          <w:color w:val="000000" w:themeColor="text1"/>
        </w:rPr>
        <w:t xml:space="preserve">Bununla birlikte, </w:t>
      </w:r>
      <w:r w:rsidR="0089104A">
        <w:rPr>
          <w:color w:val="000000" w:themeColor="text1"/>
        </w:rPr>
        <w:t>tespit edilen uygunsuz</w:t>
      </w:r>
      <w:r w:rsidR="00606A7C" w:rsidRPr="000A0093">
        <w:rPr>
          <w:color w:val="000000" w:themeColor="text1"/>
        </w:rPr>
        <w:t xml:space="preserve"> ürün partisi sayısındaki </w:t>
      </w:r>
      <w:r w:rsidR="005465E3" w:rsidRPr="000A0093">
        <w:rPr>
          <w:color w:val="000000" w:themeColor="text1"/>
        </w:rPr>
        <w:t xml:space="preserve">düşüş </w:t>
      </w:r>
      <w:r w:rsidR="00D644D8">
        <w:rPr>
          <w:color w:val="000000" w:themeColor="text1"/>
        </w:rPr>
        <w:t xml:space="preserve">oranı </w:t>
      </w:r>
      <w:r w:rsidR="005465E3" w:rsidRPr="000A0093">
        <w:rPr>
          <w:color w:val="000000" w:themeColor="text1"/>
        </w:rPr>
        <w:t>(%</w:t>
      </w:r>
      <w:r w:rsidR="008D749D">
        <w:rPr>
          <w:color w:val="000000" w:themeColor="text1"/>
        </w:rPr>
        <w:t>39</w:t>
      </w:r>
      <w:r w:rsidR="00606A7C" w:rsidRPr="000A0093">
        <w:rPr>
          <w:color w:val="000000" w:themeColor="text1"/>
        </w:rPr>
        <w:t>) denetlenen ürün</w:t>
      </w:r>
      <w:r w:rsidR="0089104A">
        <w:rPr>
          <w:color w:val="000000" w:themeColor="text1"/>
        </w:rPr>
        <w:t xml:space="preserve"> parti sayısındaki artışa nazaran</w:t>
      </w:r>
      <w:r w:rsidR="00606A7C" w:rsidRPr="000A0093">
        <w:rPr>
          <w:color w:val="000000" w:themeColor="text1"/>
        </w:rPr>
        <w:t xml:space="preserve"> daha </w:t>
      </w:r>
      <w:r w:rsidR="005465E3" w:rsidRPr="000A0093">
        <w:rPr>
          <w:color w:val="000000" w:themeColor="text1"/>
        </w:rPr>
        <w:t xml:space="preserve">fazladır. Bu durum PGD kuruluşlarının risk </w:t>
      </w:r>
      <w:r w:rsidR="005465E3" w:rsidRPr="000A0093">
        <w:rPr>
          <w:color w:val="000000" w:themeColor="text1"/>
        </w:rPr>
        <w:lastRenderedPageBreak/>
        <w:t xml:space="preserve">tespitinde geçen yıla kıyasla daha </w:t>
      </w:r>
      <w:proofErr w:type="spellStart"/>
      <w:r w:rsidR="0089104A">
        <w:rPr>
          <w:color w:val="000000" w:themeColor="text1"/>
        </w:rPr>
        <w:t>fazlaetkin</w:t>
      </w:r>
      <w:proofErr w:type="spellEnd"/>
      <w:r w:rsidR="0089104A">
        <w:rPr>
          <w:color w:val="000000" w:themeColor="text1"/>
        </w:rPr>
        <w:t xml:space="preserve"> olduğunu, güvensiz</w:t>
      </w:r>
      <w:r w:rsidR="005465E3" w:rsidRPr="000A0093">
        <w:rPr>
          <w:color w:val="000000" w:themeColor="text1"/>
        </w:rPr>
        <w:t xml:space="preserve"> ürünleri tespit etmekte bir önceki y</w:t>
      </w:r>
      <w:r w:rsidR="0089104A">
        <w:rPr>
          <w:color w:val="000000" w:themeColor="text1"/>
        </w:rPr>
        <w:t xml:space="preserve">ıla göre daha etkili oldukları, ancak uygunsuz ürünleri tespit etmekte daha çok zorlandıkları </w:t>
      </w:r>
      <w:r w:rsidR="005465E3" w:rsidRPr="000A0093">
        <w:rPr>
          <w:color w:val="000000" w:themeColor="text1"/>
        </w:rPr>
        <w:t xml:space="preserve">şeklinde yorumlanabilir. Özellikle PGD alanına ayrılan kaynağın az da olsa azalmış olduğu göz önüne alındığında, </w:t>
      </w:r>
      <w:r w:rsidR="00606A7C" w:rsidRPr="000A0093">
        <w:rPr>
          <w:color w:val="000000" w:themeColor="text1"/>
        </w:rPr>
        <w:t xml:space="preserve">önümüzdeki yıllarda kuruluşların </w:t>
      </w:r>
      <w:r w:rsidR="005465E3" w:rsidRPr="000A0093">
        <w:rPr>
          <w:color w:val="000000" w:themeColor="text1"/>
        </w:rPr>
        <w:t xml:space="preserve">denetimleri etkinleştirmek ve kısıtlı kamu kaynağını daha etkin kullanmak adına </w:t>
      </w:r>
      <w:r w:rsidR="00606A7C" w:rsidRPr="000A0093">
        <w:rPr>
          <w:color w:val="000000" w:themeColor="text1"/>
        </w:rPr>
        <w:t>riskli ürünlere odaklan</w:t>
      </w:r>
      <w:r w:rsidR="005465E3" w:rsidRPr="000A0093">
        <w:rPr>
          <w:color w:val="000000" w:themeColor="text1"/>
        </w:rPr>
        <w:t xml:space="preserve">malarını sağlayacak yöntemler geliştirmeleri ve uygulamaları önem arz etmektedir. </w:t>
      </w:r>
      <w:r w:rsidR="004B4CCA" w:rsidRPr="000A0093">
        <w:rPr>
          <w:color w:val="000000" w:themeColor="text1"/>
        </w:rPr>
        <w:t xml:space="preserve">Kuruluşların bu noktada riskli ürünlerin yanı sıra, riskli iktisadi işletmecileri de belirlemelerinde ve söz konusu kategoriler arasında </w:t>
      </w:r>
      <w:proofErr w:type="spellStart"/>
      <w:r w:rsidR="004B4CCA" w:rsidRPr="000A0093">
        <w:rPr>
          <w:color w:val="000000" w:themeColor="text1"/>
        </w:rPr>
        <w:t>önceliklendirme</w:t>
      </w:r>
      <w:proofErr w:type="spellEnd"/>
      <w:r w:rsidR="004B4CCA" w:rsidRPr="000A0093">
        <w:rPr>
          <w:color w:val="000000" w:themeColor="text1"/>
        </w:rPr>
        <w:t xml:space="preserve"> yapmalarında fayda görülmektedir.</w:t>
      </w:r>
    </w:p>
    <w:p w:rsidR="00DE3D7E" w:rsidRPr="00871C02" w:rsidRDefault="005465E3" w:rsidP="006527E1">
      <w:pPr>
        <w:numPr>
          <w:ilvl w:val="0"/>
          <w:numId w:val="4"/>
        </w:numPr>
        <w:spacing w:after="240"/>
        <w:ind w:left="0" w:firstLine="0"/>
        <w:jc w:val="both"/>
        <w:rPr>
          <w:color w:val="000000" w:themeColor="text1"/>
        </w:rPr>
      </w:pPr>
      <w:r w:rsidRPr="000A0093">
        <w:rPr>
          <w:color w:val="000000" w:themeColor="text1"/>
        </w:rPr>
        <w:t xml:space="preserve">Kısıtlı kamu kaynaklarının ihtiyaç duyulan alanlara </w:t>
      </w:r>
      <w:r w:rsidR="004B4CCA" w:rsidRPr="000A0093">
        <w:rPr>
          <w:color w:val="000000" w:themeColor="text1"/>
        </w:rPr>
        <w:t xml:space="preserve">etkin bir biçimde </w:t>
      </w:r>
      <w:r w:rsidRPr="000A0093">
        <w:rPr>
          <w:color w:val="000000" w:themeColor="text1"/>
        </w:rPr>
        <w:t xml:space="preserve">yönlendirilmesi açısından PGD </w:t>
      </w:r>
      <w:proofErr w:type="spellStart"/>
      <w:r w:rsidRPr="000A0093">
        <w:rPr>
          <w:color w:val="000000" w:themeColor="text1"/>
        </w:rPr>
        <w:t>faaliyetlerinin</w:t>
      </w:r>
      <w:r w:rsidR="00EC0440" w:rsidRPr="000A0093">
        <w:rPr>
          <w:color w:val="000000" w:themeColor="text1"/>
        </w:rPr>
        <w:t>planlanmasının</w:t>
      </w:r>
      <w:proofErr w:type="spellEnd"/>
      <w:r w:rsidR="00EC0440" w:rsidRPr="000A0093">
        <w:rPr>
          <w:color w:val="000000" w:themeColor="text1"/>
        </w:rPr>
        <w:t xml:space="preserve"> yanı sıra,</w:t>
      </w:r>
      <w:r w:rsidRPr="000A0093">
        <w:rPr>
          <w:color w:val="000000" w:themeColor="text1"/>
        </w:rPr>
        <w:t xml:space="preserve"> PGD ve ür</w:t>
      </w:r>
      <w:r w:rsidR="00EC0440" w:rsidRPr="000A0093">
        <w:rPr>
          <w:color w:val="000000" w:themeColor="text1"/>
        </w:rPr>
        <w:t xml:space="preserve">ün güvenliği politikalarının </w:t>
      </w:r>
      <w:r w:rsidRPr="000A0093">
        <w:rPr>
          <w:color w:val="000000" w:themeColor="text1"/>
        </w:rPr>
        <w:t xml:space="preserve">belirlenmesi ve PGD kuruluşları tarafından el birliği ile hayata geçirilmesi </w:t>
      </w:r>
      <w:r w:rsidR="00EC0440" w:rsidRPr="000A0093">
        <w:rPr>
          <w:color w:val="000000" w:themeColor="text1"/>
        </w:rPr>
        <w:t xml:space="preserve">de </w:t>
      </w:r>
      <w:r w:rsidRPr="000A0093">
        <w:rPr>
          <w:color w:val="000000" w:themeColor="text1"/>
        </w:rPr>
        <w:t>önem arz etmektedir. Bu amaçla 201</w:t>
      </w:r>
      <w:r w:rsidR="008D749D">
        <w:rPr>
          <w:color w:val="000000" w:themeColor="text1"/>
        </w:rPr>
        <w:t>9</w:t>
      </w:r>
      <w:r w:rsidRPr="000A0093">
        <w:rPr>
          <w:color w:val="000000" w:themeColor="text1"/>
        </w:rPr>
        <w:t>-20</w:t>
      </w:r>
      <w:r w:rsidR="008D749D">
        <w:rPr>
          <w:color w:val="000000" w:themeColor="text1"/>
        </w:rPr>
        <w:t>21</w:t>
      </w:r>
      <w:r w:rsidRPr="00871C02">
        <w:rPr>
          <w:color w:val="000000" w:themeColor="text1"/>
        </w:rPr>
        <w:t>yılla</w:t>
      </w:r>
      <w:r w:rsidR="0089104A" w:rsidRPr="00871C02">
        <w:rPr>
          <w:color w:val="000000" w:themeColor="text1"/>
        </w:rPr>
        <w:t>rını kapsayan PGD Stratejisinde yer alan eylemler büyük öneme sahiptir.</w:t>
      </w:r>
    </w:p>
    <w:p w:rsidR="003F3210" w:rsidRPr="00871C02" w:rsidRDefault="003F3210" w:rsidP="00644D2D">
      <w:pPr>
        <w:pStyle w:val="ListeParagraf"/>
        <w:numPr>
          <w:ilvl w:val="0"/>
          <w:numId w:val="4"/>
        </w:numPr>
        <w:spacing w:after="240"/>
        <w:ind w:left="0" w:firstLine="0"/>
        <w:jc w:val="both"/>
        <w:rPr>
          <w:bCs/>
        </w:rPr>
      </w:pPr>
      <w:r w:rsidRPr="00871C02">
        <w:rPr>
          <w:color w:val="000000" w:themeColor="text1"/>
        </w:rPr>
        <w:t>201</w:t>
      </w:r>
      <w:r w:rsidR="00A15905" w:rsidRPr="00871C02">
        <w:rPr>
          <w:color w:val="000000" w:themeColor="text1"/>
        </w:rPr>
        <w:t>9</w:t>
      </w:r>
      <w:r w:rsidRPr="00871C02">
        <w:rPr>
          <w:color w:val="000000" w:themeColor="text1"/>
        </w:rPr>
        <w:t xml:space="preserve"> yılında </w:t>
      </w:r>
      <w:r w:rsidR="00FD5742" w:rsidRPr="00871C02">
        <w:rPr>
          <w:color w:val="000000" w:themeColor="text1"/>
        </w:rPr>
        <w:t>TO</w:t>
      </w:r>
      <w:r w:rsidRPr="00871C02">
        <w:rPr>
          <w:color w:val="000000" w:themeColor="text1"/>
        </w:rPr>
        <w:t xml:space="preserve">B dışında veri sağlayan 7 PGD kuruluşu tarafından test/muayene işlemine tabi tutulan ürün parti sayısının </w:t>
      </w:r>
      <w:r w:rsidR="00554E68" w:rsidRPr="00871C02">
        <w:rPr>
          <w:color w:val="000000" w:themeColor="text1"/>
        </w:rPr>
        <w:t>art</w:t>
      </w:r>
      <w:r w:rsidR="006A3CE9" w:rsidRPr="00871C02">
        <w:rPr>
          <w:color w:val="000000" w:themeColor="text1"/>
        </w:rPr>
        <w:t>ması</w:t>
      </w:r>
      <w:r w:rsidR="00871C02" w:rsidRPr="00871C02">
        <w:rPr>
          <w:color w:val="000000" w:themeColor="text1"/>
        </w:rPr>
        <w:t>na</w:t>
      </w:r>
      <w:r w:rsidR="00FD5742" w:rsidRPr="00871C02">
        <w:rPr>
          <w:color w:val="000000" w:themeColor="text1"/>
        </w:rPr>
        <w:t xml:space="preserve"> rağmen</w:t>
      </w:r>
      <w:r w:rsidR="00871C02" w:rsidRPr="00871C02">
        <w:rPr>
          <w:color w:val="000000" w:themeColor="text1"/>
        </w:rPr>
        <w:t xml:space="preserve"> test edilen ürünleri </w:t>
      </w:r>
      <w:proofErr w:type="spellStart"/>
      <w:r w:rsidR="00871C02" w:rsidRPr="00871C02">
        <w:rPr>
          <w:color w:val="000000" w:themeColor="text1"/>
        </w:rPr>
        <w:t>içerisinde</w:t>
      </w:r>
      <w:r w:rsidR="00FD5742" w:rsidRPr="00871C02">
        <w:rPr>
          <w:color w:val="000000" w:themeColor="text1"/>
        </w:rPr>
        <w:t>tespit</w:t>
      </w:r>
      <w:proofErr w:type="spellEnd"/>
      <w:r w:rsidR="00FD5742" w:rsidRPr="00871C02">
        <w:rPr>
          <w:color w:val="000000" w:themeColor="text1"/>
        </w:rPr>
        <w:t xml:space="preserve"> edilen </w:t>
      </w:r>
      <w:r w:rsidRPr="00871C02">
        <w:rPr>
          <w:color w:val="000000" w:themeColor="text1"/>
        </w:rPr>
        <w:t xml:space="preserve">güvensiz ürün </w:t>
      </w:r>
      <w:r w:rsidR="00FD5742" w:rsidRPr="00871C02">
        <w:rPr>
          <w:color w:val="000000" w:themeColor="text1"/>
        </w:rPr>
        <w:t xml:space="preserve">sayısının </w:t>
      </w:r>
      <w:r w:rsidR="00554E68" w:rsidRPr="00871C02">
        <w:rPr>
          <w:color w:val="000000" w:themeColor="text1"/>
        </w:rPr>
        <w:t>2018’de %10 iken 2019’da bu oran</w:t>
      </w:r>
      <w:r w:rsidR="00871C02" w:rsidRPr="00871C02">
        <w:rPr>
          <w:color w:val="000000" w:themeColor="text1"/>
        </w:rPr>
        <w:t>ın</w:t>
      </w:r>
      <w:r w:rsidR="00554E68" w:rsidRPr="00871C02">
        <w:rPr>
          <w:color w:val="000000" w:themeColor="text1"/>
        </w:rPr>
        <w:t xml:space="preserve"> % 6’ya düşmesi </w:t>
      </w:r>
      <w:r w:rsidR="00FD5742" w:rsidRPr="00871C02">
        <w:rPr>
          <w:color w:val="000000" w:themeColor="text1"/>
        </w:rPr>
        <w:t xml:space="preserve">dikkat </w:t>
      </w:r>
      <w:proofErr w:type="spellStart"/>
      <w:proofErr w:type="gramStart"/>
      <w:r w:rsidR="00FD5742" w:rsidRPr="00871C02">
        <w:rPr>
          <w:color w:val="000000" w:themeColor="text1"/>
        </w:rPr>
        <w:t>çekicidir.Bu</w:t>
      </w:r>
      <w:proofErr w:type="spellEnd"/>
      <w:proofErr w:type="gramEnd"/>
      <w:r w:rsidR="00FD5742" w:rsidRPr="00871C02">
        <w:rPr>
          <w:color w:val="000000" w:themeColor="text1"/>
        </w:rPr>
        <w:t xml:space="preserve"> kapsamda, 201</w:t>
      </w:r>
      <w:r w:rsidR="00554E68" w:rsidRPr="00871C02">
        <w:rPr>
          <w:color w:val="000000" w:themeColor="text1"/>
        </w:rPr>
        <w:t>9</w:t>
      </w:r>
      <w:r w:rsidR="00FD5742" w:rsidRPr="00871C02">
        <w:rPr>
          <w:color w:val="000000" w:themeColor="text1"/>
        </w:rPr>
        <w:t xml:space="preserve"> senesinde bir önceki yıla göre daha </w:t>
      </w:r>
      <w:r w:rsidR="00554E68" w:rsidRPr="00871C02">
        <w:rPr>
          <w:color w:val="000000" w:themeColor="text1"/>
        </w:rPr>
        <w:t>çok</w:t>
      </w:r>
      <w:r w:rsidR="00FD5742" w:rsidRPr="00871C02">
        <w:rPr>
          <w:color w:val="000000" w:themeColor="text1"/>
        </w:rPr>
        <w:t xml:space="preserve"> test yapılmasına rağmen daha </w:t>
      </w:r>
      <w:r w:rsidR="00554E68" w:rsidRPr="00871C02">
        <w:rPr>
          <w:color w:val="000000" w:themeColor="text1"/>
        </w:rPr>
        <w:t>az</w:t>
      </w:r>
      <w:r w:rsidR="00FD5742" w:rsidRPr="00871C02">
        <w:rPr>
          <w:color w:val="000000" w:themeColor="text1"/>
        </w:rPr>
        <w:t xml:space="preserve"> oranda </w:t>
      </w:r>
      <w:r w:rsidRPr="00871C02">
        <w:rPr>
          <w:color w:val="000000" w:themeColor="text1"/>
        </w:rPr>
        <w:t>g</w:t>
      </w:r>
      <w:r w:rsidR="00FD5742" w:rsidRPr="00871C02">
        <w:rPr>
          <w:color w:val="000000" w:themeColor="text1"/>
        </w:rPr>
        <w:t xml:space="preserve">üvensiz ürün tespit edilmiş olması,  daha </w:t>
      </w:r>
      <w:r w:rsidR="00554E68" w:rsidRPr="00871C02">
        <w:rPr>
          <w:color w:val="000000" w:themeColor="text1"/>
        </w:rPr>
        <w:t>fazla</w:t>
      </w:r>
      <w:r w:rsidRPr="00871C02">
        <w:rPr>
          <w:color w:val="000000" w:themeColor="text1"/>
        </w:rPr>
        <w:t xml:space="preserve"> kamu kaynağının test ve muayene </w:t>
      </w:r>
      <w:r w:rsidRPr="00871C02">
        <w:t>işlemlerine ayrılmış ol</w:t>
      </w:r>
      <w:r w:rsidR="00FD5742" w:rsidRPr="00871C02">
        <w:t>duğuna ve</w:t>
      </w:r>
      <w:r w:rsidRPr="00871C02">
        <w:t xml:space="preserve"> teste gönderilen ürün tercihlerinin </w:t>
      </w:r>
      <w:r w:rsidR="00554E68" w:rsidRPr="00871C02">
        <w:t>isabetli</w:t>
      </w:r>
      <w:r w:rsidRPr="00871C02">
        <w:t xml:space="preserve"> ol</w:t>
      </w:r>
      <w:r w:rsidR="00554E68" w:rsidRPr="00871C02">
        <w:t>madığına</w:t>
      </w:r>
      <w:r w:rsidRPr="00871C02">
        <w:t xml:space="preserve"> işaret etmektedir. </w:t>
      </w:r>
      <w:r w:rsidR="00C7235F" w:rsidRPr="00871C02">
        <w:t>Bu noktada</w:t>
      </w:r>
      <w:r w:rsidR="00B84161" w:rsidRPr="00871C02">
        <w:t>,</w:t>
      </w:r>
      <w:r w:rsidR="00C7235F" w:rsidRPr="00871C02">
        <w:t xml:space="preserve"> riskli ürünleri tespit etme konusunda </w:t>
      </w:r>
      <w:r w:rsidR="00FD5742" w:rsidRPr="00871C02">
        <w:t xml:space="preserve">denetmenlerin </w:t>
      </w:r>
      <w:r w:rsidR="00C7235F" w:rsidRPr="00871C02">
        <w:t>yeterli al</w:t>
      </w:r>
      <w:r w:rsidR="00992FD7" w:rsidRPr="00871C02">
        <w:t xml:space="preserve">tyapıya sahip </w:t>
      </w:r>
      <w:r w:rsidR="00554E68" w:rsidRPr="00871C02">
        <w:t>olmadıkları</w:t>
      </w:r>
      <w:r w:rsidR="00A51773" w:rsidRPr="00871C02">
        <w:t xml:space="preserve"> </w:t>
      </w:r>
      <w:proofErr w:type="spellStart"/>
      <w:proofErr w:type="gramStart"/>
      <w:r w:rsidR="00A51773" w:rsidRPr="00871C02">
        <w:t>anlaşılmaktadır.</w:t>
      </w:r>
      <w:r w:rsidR="00554E68" w:rsidRPr="00871C02">
        <w:rPr>
          <w:bCs/>
        </w:rPr>
        <w:t>İlgili</w:t>
      </w:r>
      <w:proofErr w:type="spellEnd"/>
      <w:proofErr w:type="gramEnd"/>
      <w:r w:rsidR="00554E68" w:rsidRPr="00871C02">
        <w:rPr>
          <w:bCs/>
        </w:rPr>
        <w:t xml:space="preserve"> PGD kuruluşlarına, denetmenlerin sorumlulukları altındaki ürünler ve bu ürünlerin arz edebileceği riskler hususunda daha fazla bilgi sahibi olmalarının sağlanması konusunda önemli görevler düşmektedir. </w:t>
      </w:r>
    </w:p>
    <w:p w:rsidR="00C7235F" w:rsidRPr="00BC4B00" w:rsidRDefault="00C7235F" w:rsidP="006527E1">
      <w:pPr>
        <w:numPr>
          <w:ilvl w:val="0"/>
          <w:numId w:val="4"/>
        </w:numPr>
        <w:spacing w:after="240"/>
        <w:ind w:left="0" w:firstLine="0"/>
        <w:jc w:val="both"/>
      </w:pPr>
      <w:r w:rsidRPr="000A0093">
        <w:t>Geçt</w:t>
      </w:r>
      <w:r w:rsidR="00A51773">
        <w:t>iğimiz yıllarda olduğu gibi 201</w:t>
      </w:r>
      <w:r w:rsidR="00554E68">
        <w:t>9</w:t>
      </w:r>
      <w:r w:rsidRPr="000A0093">
        <w:t xml:space="preserve"> senesinde de </w:t>
      </w:r>
      <w:r w:rsidR="00606A7C" w:rsidRPr="000A0093">
        <w:t xml:space="preserve">internet satışlarına yönelik denetimlerin etkinleştirilmesi </w:t>
      </w:r>
      <w:r w:rsidRPr="000A0093">
        <w:t>hususunda istenilen gelişmeler sağlanamamıştır. PGD sist</w:t>
      </w:r>
      <w:r w:rsidRPr="00BC4B00">
        <w:t>eminin etkinleştirilmesine ilişkin çalışmaların doğrudan internet satışlarına yönelik denetimleri de etkinleştireceği açıktır. Bununla birlikte</w:t>
      </w:r>
      <w:r w:rsidR="00B84161">
        <w:t>,</w:t>
      </w:r>
      <w:r w:rsidRPr="00BC4B00">
        <w:t xml:space="preserve"> internet satışlarına yönelik denetimlerin etkinleştirilmesi adına </w:t>
      </w:r>
      <w:r w:rsidR="00554E68">
        <w:t>Ticaret Bakanlığı</w:t>
      </w:r>
      <w:r w:rsidRPr="00BC4B00">
        <w:t xml:space="preserve"> tarafından hazırlanan</w:t>
      </w:r>
      <w:r w:rsidR="00B66731">
        <w:t xml:space="preserve">, </w:t>
      </w:r>
      <w:r w:rsidR="00B66731" w:rsidRPr="00B43442">
        <w:rPr>
          <w:bCs/>
          <w:color w:val="000000" w:themeColor="text1"/>
        </w:rPr>
        <w:t xml:space="preserve">12/03/2020 tarihli ve 31066 sayılı Resmi </w:t>
      </w:r>
      <w:proofErr w:type="spellStart"/>
      <w:r w:rsidR="00B66731" w:rsidRPr="00B43442">
        <w:rPr>
          <w:bCs/>
          <w:color w:val="000000" w:themeColor="text1"/>
        </w:rPr>
        <w:t>Gazete’de</w:t>
      </w:r>
      <w:proofErr w:type="spellEnd"/>
      <w:r w:rsidR="00B66731">
        <w:rPr>
          <w:bCs/>
          <w:color w:val="000000" w:themeColor="text1"/>
        </w:rPr>
        <w:t xml:space="preserve"> yayımlanan</w:t>
      </w:r>
      <w:r w:rsidRPr="00BC4B00">
        <w:t xml:space="preserve"> “Ürün Güvenliği ve Teknik Düzenlemeler </w:t>
      </w:r>
      <w:proofErr w:type="spellStart"/>
      <w:r w:rsidRPr="00BC4B00">
        <w:t>Kanunu”n</w:t>
      </w:r>
      <w:r w:rsidR="0099227C">
        <w:t>u</w:t>
      </w:r>
      <w:r w:rsidRPr="00BC4B00">
        <w:t>n</w:t>
      </w:r>
      <w:proofErr w:type="spellEnd"/>
      <w:r w:rsidRPr="00BC4B00">
        <w:t xml:space="preserve"> yürürlüğe </w:t>
      </w:r>
      <w:r w:rsidR="00AC7C8C">
        <w:t>girmesi</w:t>
      </w:r>
      <w:r w:rsidRPr="00BC4B00">
        <w:t xml:space="preserve"> ve bunu takiben ihtiyaç duyulan idari ve teknik </w:t>
      </w:r>
      <w:r w:rsidR="00BC4B00">
        <w:t xml:space="preserve">çalışmaların tamamlanması </w:t>
      </w:r>
      <w:r w:rsidR="00554E68">
        <w:t>büyük önem arz etmektedir.</w:t>
      </w:r>
    </w:p>
    <w:p w:rsidR="00BC4B00" w:rsidRPr="00BC4B00" w:rsidRDefault="00BC4B00" w:rsidP="006527E1">
      <w:pPr>
        <w:numPr>
          <w:ilvl w:val="0"/>
          <w:numId w:val="4"/>
        </w:numPr>
        <w:spacing w:after="240"/>
        <w:ind w:left="0" w:firstLine="0"/>
        <w:jc w:val="both"/>
      </w:pPr>
      <w:r w:rsidRPr="00BC4B00">
        <w:t>201</w:t>
      </w:r>
      <w:r w:rsidR="00554E68">
        <w:t>9</w:t>
      </w:r>
      <w:r w:rsidRPr="00BC4B00">
        <w:t xml:space="preserve"> senesind</w:t>
      </w:r>
      <w:r w:rsidR="00B84161">
        <w:t xml:space="preserve">e gerek kaza/yaralanma verileri, </w:t>
      </w:r>
      <w:r w:rsidRPr="00BC4B00">
        <w:t xml:space="preserve">gerekse </w:t>
      </w:r>
      <w:proofErr w:type="gramStart"/>
      <w:r w:rsidRPr="000A0093">
        <w:t>şikayetlere</w:t>
      </w:r>
      <w:proofErr w:type="gramEnd"/>
      <w:r w:rsidRPr="000A0093">
        <w:t xml:space="preserve"> ilişkin olarak </w:t>
      </w:r>
      <w:r w:rsidR="00554E68">
        <w:t>yeterli denetim verisi iletilmemesi</w:t>
      </w:r>
      <w:r w:rsidRPr="000A0093">
        <w:t xml:space="preserve"> dikkat çekicidir. </w:t>
      </w:r>
      <w:proofErr w:type="spellStart"/>
      <w:r w:rsidRPr="000A0093">
        <w:t>SBdışındaki</w:t>
      </w:r>
      <w:proofErr w:type="spellEnd"/>
      <w:r w:rsidRPr="000A0093">
        <w:t xml:space="preserve"> PGD kuruluşları kaza/yaralanma verilerin</w:t>
      </w:r>
      <w:r w:rsidR="00554E68">
        <w:t>i 2019</w:t>
      </w:r>
      <w:r w:rsidR="00A51773">
        <w:t xml:space="preserve"> yılında</w:t>
      </w:r>
      <w:r w:rsidR="00B84161" w:rsidRPr="000A0093">
        <w:t xml:space="preserve"> </w:t>
      </w:r>
      <w:proofErr w:type="spellStart"/>
      <w:proofErr w:type="gramStart"/>
      <w:r w:rsidR="00B84161" w:rsidRPr="000A0093">
        <w:t>sağlayamazken;</w:t>
      </w:r>
      <w:r w:rsidRPr="00871C02">
        <w:t>şikayet</w:t>
      </w:r>
      <w:proofErr w:type="spellEnd"/>
      <w:proofErr w:type="gramEnd"/>
      <w:r w:rsidRPr="00871C02">
        <w:t xml:space="preserve"> ve ihbarlara iliş</w:t>
      </w:r>
      <w:r w:rsidR="00A51773" w:rsidRPr="00871C02">
        <w:t>k</w:t>
      </w:r>
      <w:r w:rsidRPr="00871C02">
        <w:t>in veriler</w:t>
      </w:r>
      <w:r w:rsidR="00AB5C03" w:rsidRPr="00871C02">
        <w:t>,</w:t>
      </w:r>
      <w:r w:rsidRPr="00871C02">
        <w:t xml:space="preserve"> beklentile</w:t>
      </w:r>
      <w:r w:rsidR="00B84161" w:rsidRPr="00871C02">
        <w:t>r</w:t>
      </w:r>
      <w:r w:rsidRPr="00871C02">
        <w:t>in aksine</w:t>
      </w:r>
      <w:r w:rsidR="00AB5C03" w:rsidRPr="00871C02">
        <w:t>,</w:t>
      </w:r>
      <w:r w:rsidRPr="00871C02">
        <w:t xml:space="preserve"> azalmış ve tüketicilerin PGD faaliyetleri</w:t>
      </w:r>
      <w:r w:rsidR="00B84161" w:rsidRPr="00871C02">
        <w:t xml:space="preserve">ne aktif katılımı sağlanamayarak </w:t>
      </w:r>
      <w:r w:rsidRPr="00871C02">
        <w:t>tüketici dern</w:t>
      </w:r>
      <w:r w:rsidR="00B84161" w:rsidRPr="00871C02">
        <w:t>eklerinden yapılan şikayetler düşük seviyelerde kalmıştır</w:t>
      </w:r>
      <w:r w:rsidRPr="00871C02">
        <w:t xml:space="preserve">. Bu alanda tüketici derneklerinin daha aktif çalışmalarına </w:t>
      </w:r>
      <w:proofErr w:type="gramStart"/>
      <w:r w:rsidRPr="00871C02">
        <w:t>imkan</w:t>
      </w:r>
      <w:proofErr w:type="gramEnd"/>
      <w:r w:rsidRPr="00871C02">
        <w:t xml:space="preserve"> verecek şekilde desteklenmesi, PGD kuruluşları ile tüketici dernekleri ar</w:t>
      </w:r>
      <w:r w:rsidR="00220A5F" w:rsidRPr="00871C02">
        <w:t>asında şikayetlerin alınması ve</w:t>
      </w:r>
      <w:r w:rsidRPr="00871C02">
        <w:t xml:space="preserve"> iletilmesine yönelik mekanizmaların</w:t>
      </w:r>
      <w:r w:rsidRPr="000A0093">
        <w:t xml:space="preserve"> bir an önce hayata geçirilmesi ve mevcut şikâyet</w:t>
      </w:r>
      <w:r w:rsidRPr="00BC4B00">
        <w:t xml:space="preserve"> mekanizmaları hakkında kamuoyundaki farkındalığın arttırılması elzemdir. </w:t>
      </w:r>
    </w:p>
    <w:p w:rsidR="00606A7C" w:rsidRPr="000A0093" w:rsidRDefault="000C6626" w:rsidP="006527E1">
      <w:pPr>
        <w:numPr>
          <w:ilvl w:val="0"/>
          <w:numId w:val="4"/>
        </w:numPr>
        <w:spacing w:after="240"/>
        <w:ind w:left="0" w:firstLine="0"/>
        <w:jc w:val="both"/>
      </w:pPr>
      <w:r w:rsidRPr="000C6626">
        <w:t xml:space="preserve">Sınırlı </w:t>
      </w:r>
      <w:r w:rsidRPr="000A0093">
        <w:t xml:space="preserve">sayıda kuruluş tarafından </w:t>
      </w:r>
      <w:proofErr w:type="spellStart"/>
      <w:r w:rsidRPr="000A0093">
        <w:t>uygulana</w:t>
      </w:r>
      <w:r w:rsidR="00A00B34" w:rsidRPr="000A0093">
        <w:t>n</w:t>
      </w:r>
      <w:r w:rsidR="009B4091">
        <w:t>İPC</w:t>
      </w:r>
      <w:proofErr w:type="spellEnd"/>
      <w:r w:rsidRPr="000A0093">
        <w:t xml:space="preserve"> veriler</w:t>
      </w:r>
      <w:r w:rsidR="009B4091">
        <w:t>i</w:t>
      </w:r>
      <w:r w:rsidRPr="000A0093">
        <w:t xml:space="preserve"> genel olarak ele alındığı</w:t>
      </w:r>
      <w:r w:rsidR="00554E68">
        <w:t>nda; 2019</w:t>
      </w:r>
      <w:r w:rsidR="002530CB" w:rsidRPr="000A0093">
        <w:t xml:space="preserve"> senesinde</w:t>
      </w:r>
      <w:r w:rsidR="009B4091">
        <w:t xml:space="preserve"> </w:t>
      </w:r>
      <w:proofErr w:type="spellStart"/>
      <w:r w:rsidR="009B4091">
        <w:t>cezalarbir</w:t>
      </w:r>
      <w:proofErr w:type="spellEnd"/>
      <w:r w:rsidR="009B4091">
        <w:t xml:space="preserve"> önceki yıla kıyasla </w:t>
      </w:r>
      <w:proofErr w:type="spellStart"/>
      <w:r w:rsidR="009B4091">
        <w:t>azalmış</w:t>
      </w:r>
      <w:r w:rsidR="002530CB" w:rsidRPr="000A0093">
        <w:t>de</w:t>
      </w:r>
      <w:proofErr w:type="spellEnd"/>
      <w:r w:rsidR="002530CB" w:rsidRPr="000A0093">
        <w:t xml:space="preserve"> </w:t>
      </w:r>
      <w:r w:rsidR="00606A7C" w:rsidRPr="000A0093">
        <w:t>tespit edilen birçok güvensiz ve</w:t>
      </w:r>
      <w:r w:rsidR="002530CB" w:rsidRPr="000A0093">
        <w:t xml:space="preserve"> uygunsuz ürün için İPC uygulanmamıştır</w:t>
      </w:r>
      <w:r w:rsidRPr="000A0093">
        <w:t xml:space="preserve">. Piyasaya uygunsuz veya güvensiz ürün arz ederek haksız rekabet oluşmasına neden olan, tüketicinin güvenliğini riske atan bu iktisadi işletmecilere İPC uygulanmaması, cezaların beklenen caydırıcı etkiyi yaratmasına da engel olmaktadır. Piyasada yer alan tüm güvensiz ve uygunsuz ürünlere yönelik olarak idari para cezası uygulanması ve bu ürünlerin piyasaya arzından dolayı haksız rekabet ile karşı karşıya kalan basiretli iktisadi işletmecilerin korunması hususu </w:t>
      </w:r>
      <w:r w:rsidR="00606A7C" w:rsidRPr="000A0093">
        <w:t>4703 sayılı Ürünlere İlişkin Teknik Mevzuatın Hazırlanması ve Uygulanmasına Dair Kanun</w:t>
      </w:r>
      <w:r w:rsidRPr="000A0093">
        <w:t xml:space="preserve"> kapsamında PGD kuruluşlarından beklenen en temel husustur.</w:t>
      </w:r>
    </w:p>
    <w:p w:rsidR="006C7AFD" w:rsidRDefault="00554E68" w:rsidP="006C7AFD">
      <w:pPr>
        <w:numPr>
          <w:ilvl w:val="0"/>
          <w:numId w:val="4"/>
        </w:numPr>
        <w:spacing w:after="240"/>
        <w:ind w:left="0" w:firstLine="0"/>
        <w:jc w:val="both"/>
      </w:pPr>
      <w:r>
        <w:lastRenderedPageBreak/>
        <w:t>2019</w:t>
      </w:r>
      <w:r w:rsidR="00F645B7" w:rsidRPr="000A0093">
        <w:t xml:space="preserve"> senesinde PGD kuruluşları tarafından </w:t>
      </w:r>
      <w:r w:rsidR="001E1324" w:rsidRPr="000A0093">
        <w:t>tespit edilen güvensizlik</w:t>
      </w:r>
      <w:r w:rsidR="009B4091">
        <w:t xml:space="preserve"> sayısı artmış olmasına rağmen</w:t>
      </w:r>
      <w:r w:rsidR="001E1324" w:rsidRPr="000A0093">
        <w:t xml:space="preserve"> güvensiz ürü</w:t>
      </w:r>
      <w:r w:rsidR="009B4091">
        <w:t>nlere uygulanan önlem miktarı</w:t>
      </w:r>
      <w:r w:rsidR="001E1324" w:rsidRPr="000A0093">
        <w:t xml:space="preserve"> azalmıştır. Öte yandan PGD kuruluşları bu yıl da ö</w:t>
      </w:r>
      <w:r w:rsidR="000D6E63" w:rsidRPr="000A0093">
        <w:t>nlem uygulanan ürünlerin</w:t>
      </w:r>
      <w:r w:rsidR="00411AD1" w:rsidRPr="000A0093">
        <w:t xml:space="preserve"> piyasaya arz edilme ve önlem uygulanma miktarları ile ilgili olarak </w:t>
      </w:r>
      <w:r w:rsidR="001E1324" w:rsidRPr="000A0093">
        <w:t xml:space="preserve">sağlıklı </w:t>
      </w:r>
      <w:r w:rsidR="000D6E63" w:rsidRPr="000A0093">
        <w:t>veri sağlaya</w:t>
      </w:r>
      <w:r w:rsidR="001E1324" w:rsidRPr="000A0093">
        <w:t xml:space="preserve">mamışlardır. </w:t>
      </w:r>
      <w:proofErr w:type="spellStart"/>
      <w:r w:rsidR="001E1324" w:rsidRPr="000A0093">
        <w:t>PGDBİS’e</w:t>
      </w:r>
      <w:proofErr w:type="spellEnd"/>
      <w:r w:rsidR="001E1324" w:rsidRPr="000A0093">
        <w:t xml:space="preserve"> kaydedilen verilerden</w:t>
      </w:r>
      <w:r w:rsidR="000D6E63" w:rsidRPr="000A0093">
        <w:t xml:space="preserve"> güv</w:t>
      </w:r>
      <w:r w:rsidR="007C31C7" w:rsidRPr="000A0093">
        <w:t>ensiz ürünlerin önemli bir kısmı için;</w:t>
      </w:r>
      <w:r w:rsidR="000D6E63" w:rsidRPr="000A0093">
        <w:t xml:space="preserve"> toplatma, piyasaya arzın yasaklanması, güvensizliği düzeltme gibi önlemler</w:t>
      </w:r>
      <w:r w:rsidR="001E1324" w:rsidRPr="000A0093">
        <w:t>e tabi tutulması yönünde idari karar alındığı</w:t>
      </w:r>
      <w:r w:rsidR="007C31C7" w:rsidRPr="000A0093">
        <w:t>,</w:t>
      </w:r>
      <w:r w:rsidR="001E1324" w:rsidRPr="000A0093">
        <w:t xml:space="preserve"> ancak bu ürünlerin </w:t>
      </w:r>
      <w:r w:rsidR="000D6E63" w:rsidRPr="000A0093">
        <w:t>tüketiciye ulaşmasının önlen</w:t>
      </w:r>
      <w:r w:rsidR="001E1324" w:rsidRPr="000A0093">
        <w:t>emediğ</w:t>
      </w:r>
      <w:r w:rsidR="000D6E63" w:rsidRPr="000A0093">
        <w:t>i anlaşılm</w:t>
      </w:r>
      <w:r w:rsidR="001E1324" w:rsidRPr="000A0093">
        <w:t>aktadır. B</w:t>
      </w:r>
      <w:r w:rsidR="00606A7C" w:rsidRPr="000A0093">
        <w:t xml:space="preserve">u anlamda </w:t>
      </w:r>
      <w:r w:rsidR="009B4091">
        <w:t>2019</w:t>
      </w:r>
      <w:r w:rsidR="001E1324" w:rsidRPr="000A0093">
        <w:t xml:space="preserve"> senesinde PGD kuruluşlarının müeyyide uygulama ve takip kapasiteleri yeterli seviyeye çıkartılamamış ve </w:t>
      </w:r>
      <w:r w:rsidR="00606A7C" w:rsidRPr="000A0093">
        <w:t>PGD faaliyetlerinde istenilen sonuca ulaşılama</w:t>
      </w:r>
      <w:r w:rsidR="001E1324" w:rsidRPr="000A0093">
        <w:t xml:space="preserve">mıştır. </w:t>
      </w:r>
      <w:bookmarkStart w:id="23" w:name="_Toc528314264"/>
      <w:bookmarkStart w:id="24" w:name="_Toc528315076"/>
    </w:p>
    <w:p w:rsidR="00456A55" w:rsidRPr="008B2319" w:rsidRDefault="00606A7C" w:rsidP="006C7AFD">
      <w:pPr>
        <w:numPr>
          <w:ilvl w:val="0"/>
          <w:numId w:val="4"/>
        </w:numPr>
        <w:spacing w:after="240"/>
        <w:ind w:left="0" w:firstLine="0"/>
        <w:jc w:val="both"/>
      </w:pPr>
      <w:r w:rsidRPr="006C7AFD">
        <w:rPr>
          <w:color w:val="000000" w:themeColor="text1"/>
        </w:rPr>
        <w:t xml:space="preserve">Bu Raporun hazırlanmasında kullanılan verilerin tamamı, PGD kuruluşlarınca </w:t>
      </w:r>
      <w:proofErr w:type="spellStart"/>
      <w:r w:rsidRPr="006C7AFD">
        <w:rPr>
          <w:color w:val="000000" w:themeColor="text1"/>
        </w:rPr>
        <w:t>PGDBİS’e</w:t>
      </w:r>
      <w:proofErr w:type="spellEnd"/>
      <w:r w:rsidRPr="006C7AFD">
        <w:rPr>
          <w:color w:val="000000" w:themeColor="text1"/>
        </w:rPr>
        <w:t xml:space="preserve"> iletilen verilerdir. </w:t>
      </w:r>
      <w:proofErr w:type="spellStart"/>
      <w:r w:rsidRPr="006C7AFD">
        <w:rPr>
          <w:color w:val="000000" w:themeColor="text1"/>
        </w:rPr>
        <w:t>PGDBİS’in</w:t>
      </w:r>
      <w:proofErr w:type="spellEnd"/>
      <w:r w:rsidRPr="006C7AFD">
        <w:rPr>
          <w:color w:val="000000" w:themeColor="text1"/>
        </w:rPr>
        <w:t xml:space="preserve"> geliştirilmesi amacıyla yapılan çalışmalar sonucunda sistem</w:t>
      </w:r>
      <w:r w:rsidR="005D1A6D" w:rsidRPr="006C7AFD">
        <w:rPr>
          <w:color w:val="000000" w:themeColor="text1"/>
        </w:rPr>
        <w:t>,</w:t>
      </w:r>
      <w:r w:rsidRPr="006C7AFD">
        <w:rPr>
          <w:color w:val="000000" w:themeColor="text1"/>
        </w:rPr>
        <w:t xml:space="preserve"> kullanıcı dostu bir yapıya kavuşturulmuştur. Denetimlerin doğru bir şekilde ve zamanında raporlandırılabilmesi için verilerin </w:t>
      </w:r>
      <w:r w:rsidR="00A51773" w:rsidRPr="006C7AFD">
        <w:rPr>
          <w:color w:val="000000" w:themeColor="text1"/>
        </w:rPr>
        <w:t>T</w:t>
      </w:r>
      <w:r w:rsidRPr="006C7AFD">
        <w:rPr>
          <w:color w:val="000000" w:themeColor="text1"/>
        </w:rPr>
        <w:t xml:space="preserve">B “Veri Hazırlama </w:t>
      </w:r>
      <w:proofErr w:type="spellStart"/>
      <w:r w:rsidRPr="006C7AFD">
        <w:rPr>
          <w:color w:val="000000" w:themeColor="text1"/>
        </w:rPr>
        <w:t>Rehberi”nde</w:t>
      </w:r>
      <w:proofErr w:type="spellEnd"/>
      <w:r w:rsidRPr="006C7AFD">
        <w:rPr>
          <w:color w:val="000000" w:themeColor="text1"/>
        </w:rPr>
        <w:t xml:space="preserve"> belirtilen yöntemlerle ve formatla uyumlu olacak şekilde kayıt altına alınması ve her bir kuruluşça sağlanan verilerin kendi içerisinde tutarlı olması gereklidir. Önümüzdeki yıllarda kuruluşlardan Rehber’de yer alan hususlara uygun rapor verileri beklenmektedir. Öte yandan</w:t>
      </w:r>
      <w:r w:rsidR="005D1A6D" w:rsidRPr="006C7AFD">
        <w:rPr>
          <w:color w:val="000000" w:themeColor="text1"/>
        </w:rPr>
        <w:t>,</w:t>
      </w:r>
      <w:r w:rsidRPr="006C7AFD">
        <w:rPr>
          <w:color w:val="000000" w:themeColor="text1"/>
        </w:rPr>
        <w:t xml:space="preserve"> kuruluşlarca sisteme veri girişi</w:t>
      </w:r>
      <w:r w:rsidR="00F91362" w:rsidRPr="006C7AFD">
        <w:rPr>
          <w:color w:val="000000" w:themeColor="text1"/>
        </w:rPr>
        <w:t>nin</w:t>
      </w:r>
      <w:r w:rsidRPr="006C7AFD">
        <w:rPr>
          <w:color w:val="000000" w:themeColor="text1"/>
        </w:rPr>
        <w:t xml:space="preserve"> yapılmasında ve bildirimlerinin kabul durumunun takibi konusunda gecikmeler yaşanmaktadır. Verilerin doğruluğu kadar</w:t>
      </w:r>
      <w:r w:rsidR="007C50A4" w:rsidRPr="006C7AFD">
        <w:rPr>
          <w:color w:val="000000" w:themeColor="text1"/>
        </w:rPr>
        <w:t>,</w:t>
      </w:r>
      <w:r w:rsidRPr="006C7AFD">
        <w:rPr>
          <w:color w:val="000000" w:themeColor="text1"/>
        </w:rPr>
        <w:t xml:space="preserve"> bu verilerin zamanında rapo</w:t>
      </w:r>
      <w:r w:rsidR="007C50A4" w:rsidRPr="006C7AFD">
        <w:rPr>
          <w:color w:val="000000" w:themeColor="text1"/>
        </w:rPr>
        <w:t>rlanmasının</w:t>
      </w:r>
      <w:r w:rsidR="00F91362" w:rsidRPr="006C7AFD">
        <w:rPr>
          <w:color w:val="000000" w:themeColor="text1"/>
        </w:rPr>
        <w:t xml:space="preserve"> da </w:t>
      </w:r>
      <w:r w:rsidR="007C50A4" w:rsidRPr="006C7AFD">
        <w:rPr>
          <w:color w:val="000000" w:themeColor="text1"/>
        </w:rPr>
        <w:t>önem arz ettiğinin hatırlatılmasında fayda görülmektedir.</w:t>
      </w:r>
      <w:bookmarkEnd w:id="23"/>
      <w:bookmarkEnd w:id="24"/>
    </w:p>
    <w:p w:rsidR="008B2319" w:rsidRDefault="008B2319" w:rsidP="008B2319">
      <w:pPr>
        <w:spacing w:after="240"/>
        <w:jc w:val="both"/>
        <w:rPr>
          <w:color w:val="000000" w:themeColor="text1"/>
        </w:rPr>
      </w:pPr>
    </w:p>
    <w:p w:rsidR="008B2319" w:rsidRDefault="008B2319" w:rsidP="008B2319">
      <w:pPr>
        <w:spacing w:after="240"/>
        <w:jc w:val="both"/>
        <w:rPr>
          <w:color w:val="000000" w:themeColor="text1"/>
        </w:rPr>
      </w:pPr>
    </w:p>
    <w:p w:rsidR="008B2319" w:rsidRDefault="008B2319" w:rsidP="008B2319">
      <w:pPr>
        <w:spacing w:after="240"/>
        <w:jc w:val="both"/>
        <w:rPr>
          <w:color w:val="000000" w:themeColor="text1"/>
        </w:rPr>
      </w:pPr>
    </w:p>
    <w:p w:rsidR="00696962" w:rsidRDefault="00696962" w:rsidP="008B2319">
      <w:pPr>
        <w:spacing w:after="240"/>
        <w:jc w:val="both"/>
        <w:rPr>
          <w:color w:val="000000" w:themeColor="text1"/>
        </w:rPr>
      </w:pPr>
    </w:p>
    <w:p w:rsidR="00696962" w:rsidRDefault="00696962" w:rsidP="008B2319">
      <w:pPr>
        <w:spacing w:after="240"/>
        <w:jc w:val="both"/>
        <w:rPr>
          <w:color w:val="000000" w:themeColor="text1"/>
        </w:rPr>
      </w:pPr>
    </w:p>
    <w:p w:rsidR="00696962" w:rsidRDefault="00696962" w:rsidP="008B2319">
      <w:pPr>
        <w:spacing w:after="240"/>
        <w:jc w:val="both"/>
        <w:rPr>
          <w:color w:val="000000" w:themeColor="text1"/>
        </w:rPr>
      </w:pPr>
    </w:p>
    <w:p w:rsidR="00696962" w:rsidRDefault="00696962" w:rsidP="008B2319">
      <w:pPr>
        <w:spacing w:after="240"/>
        <w:jc w:val="both"/>
        <w:rPr>
          <w:color w:val="000000" w:themeColor="text1"/>
        </w:rPr>
      </w:pPr>
    </w:p>
    <w:p w:rsidR="00696962" w:rsidRDefault="00696962" w:rsidP="008B2319">
      <w:pPr>
        <w:spacing w:after="240"/>
        <w:jc w:val="both"/>
        <w:rPr>
          <w:color w:val="000000" w:themeColor="text1"/>
        </w:rPr>
      </w:pPr>
    </w:p>
    <w:p w:rsidR="008B2319" w:rsidRDefault="008B2319" w:rsidP="008B2319">
      <w:pPr>
        <w:spacing w:after="240"/>
        <w:jc w:val="both"/>
        <w:rPr>
          <w:color w:val="000000" w:themeColor="text1"/>
        </w:rPr>
      </w:pPr>
    </w:p>
    <w:p w:rsidR="008B2319" w:rsidRDefault="008B2319" w:rsidP="008B2319">
      <w:pPr>
        <w:spacing w:after="240"/>
        <w:jc w:val="both"/>
        <w:rPr>
          <w:color w:val="000000" w:themeColor="text1"/>
        </w:rPr>
      </w:pPr>
    </w:p>
    <w:p w:rsidR="008B2319" w:rsidRDefault="008B2319" w:rsidP="008B2319">
      <w:pPr>
        <w:spacing w:after="240"/>
        <w:jc w:val="both"/>
      </w:pPr>
    </w:p>
    <w:p w:rsidR="000C2BE5" w:rsidRDefault="000C2BE5" w:rsidP="008B2319">
      <w:pPr>
        <w:spacing w:after="240"/>
        <w:jc w:val="both"/>
      </w:pPr>
    </w:p>
    <w:p w:rsidR="000C2BE5" w:rsidRPr="006C7AFD" w:rsidRDefault="000C2BE5" w:rsidP="008B2319">
      <w:pPr>
        <w:spacing w:after="240"/>
        <w:jc w:val="both"/>
      </w:pPr>
    </w:p>
    <w:p w:rsidR="001021DC" w:rsidRPr="00413CB3" w:rsidRDefault="001021DC" w:rsidP="00413CB3">
      <w:pPr>
        <w:pStyle w:val="Balk1"/>
        <w:numPr>
          <w:ilvl w:val="0"/>
          <w:numId w:val="37"/>
        </w:numPr>
      </w:pPr>
      <w:bookmarkStart w:id="25" w:name="_Toc4892873"/>
      <w:r w:rsidRPr="00413CB3">
        <w:t>EKLER</w:t>
      </w:r>
      <w:bookmarkEnd w:id="25"/>
    </w:p>
    <w:p w:rsidR="001021DC" w:rsidRDefault="001021DC" w:rsidP="00BE41A3">
      <w:pPr>
        <w:keepNext/>
        <w:ind w:firstLine="709"/>
        <w:jc w:val="both"/>
        <w:outlineLvl w:val="0"/>
        <w:rPr>
          <w:b/>
        </w:rPr>
      </w:pPr>
    </w:p>
    <w:p w:rsidR="001021DC" w:rsidRPr="008408F9" w:rsidRDefault="001021DC" w:rsidP="00413CB3">
      <w:pPr>
        <w:keepNext/>
        <w:ind w:left="708"/>
        <w:jc w:val="both"/>
        <w:outlineLvl w:val="0"/>
        <w:rPr>
          <w:b/>
        </w:rPr>
      </w:pPr>
      <w:bookmarkStart w:id="26" w:name="_Toc487027367"/>
      <w:bookmarkStart w:id="27" w:name="_Toc4892874"/>
      <w:r>
        <w:rPr>
          <w:b/>
        </w:rPr>
        <w:t xml:space="preserve">EK -1: PGD KURULUŞLARINA AİT İHBAR VE ŞİKAYET HATLARINA </w:t>
      </w:r>
      <w:proofErr w:type="gramStart"/>
      <w:r>
        <w:rPr>
          <w:b/>
        </w:rPr>
        <w:t>İLİŞKİN  LİSTE</w:t>
      </w:r>
      <w:bookmarkEnd w:id="26"/>
      <w:bookmarkEnd w:id="27"/>
      <w:proofErr w:type="gramEnd"/>
    </w:p>
    <w:p w:rsidR="001021DC" w:rsidRPr="008408F9" w:rsidRDefault="001021DC" w:rsidP="00BE41A3">
      <w:pPr>
        <w:spacing w:after="240"/>
        <w:ind w:firstLine="709"/>
        <w:jc w:val="both"/>
        <w:rPr>
          <w:b/>
          <w:strike/>
          <w:color w:val="000000" w:themeColor="text1"/>
        </w:rPr>
      </w:pPr>
    </w:p>
    <w:tbl>
      <w:tblPr>
        <w:tblStyle w:val="TabloKlavuzu"/>
        <w:tblW w:w="0" w:type="auto"/>
        <w:tblLook w:val="04A0" w:firstRow="1" w:lastRow="0" w:firstColumn="1" w:lastColumn="0" w:noHBand="0" w:noVBand="1"/>
      </w:tblPr>
      <w:tblGrid>
        <w:gridCol w:w="3020"/>
        <w:gridCol w:w="5906"/>
      </w:tblGrid>
      <w:tr w:rsidR="001021DC" w:rsidRPr="00EF3B25" w:rsidTr="001021DC">
        <w:tc>
          <w:tcPr>
            <w:tcW w:w="3020" w:type="dxa"/>
          </w:tcPr>
          <w:p w:rsidR="001021DC" w:rsidRPr="00227193" w:rsidRDefault="001021DC" w:rsidP="00BE41A3">
            <w:pPr>
              <w:spacing w:before="240" w:after="240"/>
              <w:ind w:firstLine="709"/>
              <w:rPr>
                <w:b/>
              </w:rPr>
            </w:pPr>
            <w:r w:rsidRPr="00227193">
              <w:rPr>
                <w:b/>
              </w:rPr>
              <w:lastRenderedPageBreak/>
              <w:t>PGD Kuruluşu</w:t>
            </w:r>
          </w:p>
        </w:tc>
        <w:tc>
          <w:tcPr>
            <w:tcW w:w="5906" w:type="dxa"/>
          </w:tcPr>
          <w:p w:rsidR="001021DC" w:rsidRPr="00227193" w:rsidRDefault="001021DC" w:rsidP="00BE41A3">
            <w:pPr>
              <w:spacing w:before="240" w:after="240"/>
              <w:ind w:firstLine="709"/>
              <w:rPr>
                <w:b/>
              </w:rPr>
            </w:pPr>
            <w:r w:rsidRPr="00227193">
              <w:rPr>
                <w:b/>
              </w:rPr>
              <w:t>Destek Hattı</w:t>
            </w:r>
          </w:p>
        </w:tc>
      </w:tr>
      <w:tr w:rsidR="001021DC" w:rsidRPr="00EF3B25" w:rsidTr="001021DC">
        <w:tc>
          <w:tcPr>
            <w:tcW w:w="3020" w:type="dxa"/>
          </w:tcPr>
          <w:p w:rsidR="001021DC" w:rsidRPr="00227193" w:rsidRDefault="001021DC" w:rsidP="00BE41A3">
            <w:pPr>
              <w:spacing w:before="240" w:after="240"/>
              <w:ind w:firstLine="709"/>
              <w:rPr>
                <w:b/>
              </w:rPr>
            </w:pPr>
            <w:r w:rsidRPr="00227193">
              <w:rPr>
                <w:b/>
              </w:rPr>
              <w:t>STB</w:t>
            </w:r>
          </w:p>
        </w:tc>
        <w:tc>
          <w:tcPr>
            <w:tcW w:w="5906" w:type="dxa"/>
          </w:tcPr>
          <w:p w:rsidR="001021DC" w:rsidRPr="00EF3B25" w:rsidRDefault="001021DC" w:rsidP="00BE41A3">
            <w:pPr>
              <w:spacing w:before="240" w:after="240"/>
              <w:ind w:firstLine="709"/>
            </w:pPr>
            <w:r w:rsidRPr="00EF3B25">
              <w:t xml:space="preserve">ALO 130 Ürün Güvenliği </w:t>
            </w:r>
            <w:proofErr w:type="gramStart"/>
            <w:r w:rsidRPr="00EF3B25">
              <w:t>Şikayet</w:t>
            </w:r>
            <w:proofErr w:type="gramEnd"/>
            <w:r w:rsidRPr="00EF3B25">
              <w:t xml:space="preserve"> Hattı</w:t>
            </w:r>
          </w:p>
        </w:tc>
      </w:tr>
      <w:tr w:rsidR="001021DC" w:rsidRPr="00EF3B25" w:rsidTr="001021DC">
        <w:tc>
          <w:tcPr>
            <w:tcW w:w="3020" w:type="dxa"/>
          </w:tcPr>
          <w:p w:rsidR="001021DC" w:rsidRPr="00227193" w:rsidRDefault="00A51773" w:rsidP="00BE41A3">
            <w:pPr>
              <w:spacing w:before="240" w:after="240"/>
              <w:ind w:firstLine="709"/>
              <w:rPr>
                <w:b/>
              </w:rPr>
            </w:pPr>
            <w:r>
              <w:rPr>
                <w:b/>
              </w:rPr>
              <w:t>A</w:t>
            </w:r>
            <w:r w:rsidR="00B43EE7">
              <w:rPr>
                <w:b/>
              </w:rPr>
              <w:t>ÇSH</w:t>
            </w:r>
            <w:r w:rsidR="001021DC" w:rsidRPr="00227193">
              <w:rPr>
                <w:b/>
              </w:rPr>
              <w:t>B</w:t>
            </w:r>
          </w:p>
        </w:tc>
        <w:tc>
          <w:tcPr>
            <w:tcW w:w="5906" w:type="dxa"/>
          </w:tcPr>
          <w:p w:rsidR="001021DC" w:rsidRPr="00EF3B25" w:rsidRDefault="001021DC" w:rsidP="00BE41A3">
            <w:pPr>
              <w:spacing w:before="240" w:after="240"/>
              <w:ind w:firstLine="709"/>
            </w:pPr>
            <w:r w:rsidRPr="00EF3B25">
              <w:t>ALO 170</w:t>
            </w:r>
          </w:p>
        </w:tc>
      </w:tr>
      <w:tr w:rsidR="001021DC" w:rsidRPr="00EF3B25" w:rsidTr="001021DC">
        <w:tc>
          <w:tcPr>
            <w:tcW w:w="3020" w:type="dxa"/>
          </w:tcPr>
          <w:p w:rsidR="001021DC" w:rsidRPr="00227193" w:rsidRDefault="001021DC" w:rsidP="00BE41A3">
            <w:pPr>
              <w:spacing w:before="240" w:after="240"/>
              <w:ind w:firstLine="709"/>
              <w:rPr>
                <w:b/>
              </w:rPr>
            </w:pPr>
            <w:r w:rsidRPr="00227193">
              <w:rPr>
                <w:b/>
              </w:rPr>
              <w:t>ÇŞB</w:t>
            </w:r>
          </w:p>
        </w:tc>
        <w:tc>
          <w:tcPr>
            <w:tcW w:w="5906" w:type="dxa"/>
          </w:tcPr>
          <w:p w:rsidR="001021DC" w:rsidRPr="00EF3B25" w:rsidRDefault="0021225D" w:rsidP="00BE41A3">
            <w:pPr>
              <w:spacing w:before="240" w:after="240"/>
              <w:ind w:firstLine="709"/>
              <w:rPr>
                <w:rFonts w:asciiTheme="minorHAnsi" w:eastAsiaTheme="minorHAnsi" w:hAnsiTheme="minorHAnsi" w:cstheme="minorBidi"/>
              </w:rPr>
            </w:pPr>
            <w:hyperlink r:id="rId33" w:history="1">
              <w:bookmarkStart w:id="28" w:name="_Toc487027368"/>
              <w:r w:rsidR="001021DC" w:rsidRPr="00EF3B25">
                <w:rPr>
                  <w:rFonts w:asciiTheme="minorHAnsi" w:eastAsiaTheme="minorHAnsi" w:hAnsiTheme="minorHAnsi" w:cstheme="minorBidi"/>
                </w:rPr>
                <w:t>A</w:t>
              </w:r>
              <w:r w:rsidR="001021DC">
                <w:rPr>
                  <w:rFonts w:asciiTheme="minorHAnsi" w:eastAsiaTheme="minorHAnsi" w:hAnsiTheme="minorHAnsi" w:cstheme="minorBidi"/>
                </w:rPr>
                <w:t>LO</w:t>
              </w:r>
              <w:r w:rsidR="001021DC" w:rsidRPr="00EF3B25">
                <w:rPr>
                  <w:rFonts w:asciiTheme="minorHAnsi" w:eastAsiaTheme="minorHAnsi" w:hAnsiTheme="minorHAnsi" w:cstheme="minorBidi"/>
                </w:rPr>
                <w:t xml:space="preserve"> 181 Çevre ve Şehircilik Hattı</w:t>
              </w:r>
              <w:bookmarkEnd w:id="28"/>
              <w:r w:rsidR="001021DC" w:rsidRPr="00EF3B25">
                <w:rPr>
                  <w:rFonts w:asciiTheme="minorHAnsi" w:eastAsiaTheme="minorHAnsi" w:hAnsiTheme="minorHAnsi" w:cstheme="minorBidi"/>
                </w:rPr>
                <w:t> </w:t>
              </w:r>
            </w:hyperlink>
          </w:p>
        </w:tc>
      </w:tr>
      <w:tr w:rsidR="001021DC" w:rsidRPr="00EF3B25" w:rsidTr="001021DC">
        <w:tc>
          <w:tcPr>
            <w:tcW w:w="3020" w:type="dxa"/>
          </w:tcPr>
          <w:p w:rsidR="001021DC" w:rsidRPr="00227193" w:rsidRDefault="00A51773" w:rsidP="00BE41A3">
            <w:pPr>
              <w:spacing w:before="240" w:after="240"/>
              <w:ind w:firstLine="709"/>
              <w:rPr>
                <w:b/>
              </w:rPr>
            </w:pPr>
            <w:r>
              <w:rPr>
                <w:b/>
              </w:rPr>
              <w:t>TK</w:t>
            </w:r>
            <w:r w:rsidR="000C2BE5">
              <w:rPr>
                <w:b/>
              </w:rPr>
              <w:t>PG</w:t>
            </w:r>
            <w:r>
              <w:rPr>
                <w:b/>
              </w:rPr>
              <w:t>GM</w:t>
            </w:r>
          </w:p>
        </w:tc>
        <w:tc>
          <w:tcPr>
            <w:tcW w:w="5906" w:type="dxa"/>
          </w:tcPr>
          <w:p w:rsidR="001021DC" w:rsidRPr="00EF3B25" w:rsidRDefault="0021225D" w:rsidP="00BE41A3">
            <w:pPr>
              <w:spacing w:before="240" w:after="240"/>
              <w:ind w:firstLine="709"/>
            </w:pPr>
            <w:hyperlink r:id="rId34" w:history="1">
              <w:bookmarkStart w:id="29" w:name="_Toc487027369"/>
              <w:r w:rsidR="001021DC" w:rsidRPr="00EF3B25">
                <w:rPr>
                  <w:rFonts w:asciiTheme="minorHAnsi" w:eastAsiaTheme="minorHAnsi" w:hAnsiTheme="minorHAnsi" w:cstheme="minorBidi"/>
                </w:rPr>
                <w:t>A</w:t>
              </w:r>
              <w:r w:rsidR="001021DC">
                <w:rPr>
                  <w:rFonts w:asciiTheme="minorHAnsi" w:eastAsiaTheme="minorHAnsi" w:hAnsiTheme="minorHAnsi" w:cstheme="minorBidi"/>
                </w:rPr>
                <w:t>LO</w:t>
              </w:r>
              <w:r w:rsidR="001021DC" w:rsidRPr="00EF3B25">
                <w:rPr>
                  <w:rFonts w:asciiTheme="minorHAnsi" w:eastAsiaTheme="minorHAnsi" w:hAnsiTheme="minorHAnsi" w:cstheme="minorBidi"/>
                </w:rPr>
                <w:t xml:space="preserve"> 175 Tüketici </w:t>
              </w:r>
              <w:proofErr w:type="gramStart"/>
              <w:r w:rsidR="001021DC" w:rsidRPr="00EF3B25">
                <w:rPr>
                  <w:rFonts w:asciiTheme="minorHAnsi" w:eastAsiaTheme="minorHAnsi" w:hAnsiTheme="minorHAnsi" w:cstheme="minorBidi"/>
                </w:rPr>
                <w:t>Şikayet</w:t>
              </w:r>
              <w:proofErr w:type="gramEnd"/>
              <w:r w:rsidR="001021DC" w:rsidRPr="00EF3B25">
                <w:rPr>
                  <w:rFonts w:asciiTheme="minorHAnsi" w:eastAsiaTheme="minorHAnsi" w:hAnsiTheme="minorHAnsi" w:cstheme="minorBidi"/>
                </w:rPr>
                <w:t xml:space="preserve"> Hattı</w:t>
              </w:r>
              <w:bookmarkEnd w:id="29"/>
              <w:r w:rsidR="001021DC" w:rsidRPr="00EF3B25">
                <w:rPr>
                  <w:rFonts w:asciiTheme="minorHAnsi" w:eastAsiaTheme="minorHAnsi" w:hAnsiTheme="minorHAnsi" w:cstheme="minorBidi"/>
                </w:rPr>
                <w:t> </w:t>
              </w:r>
            </w:hyperlink>
          </w:p>
        </w:tc>
      </w:tr>
      <w:tr w:rsidR="001021DC" w:rsidRPr="00EF3B25" w:rsidTr="001021DC">
        <w:tc>
          <w:tcPr>
            <w:tcW w:w="3020" w:type="dxa"/>
          </w:tcPr>
          <w:p w:rsidR="001021DC" w:rsidRPr="00227193" w:rsidRDefault="00A51773" w:rsidP="00BE41A3">
            <w:pPr>
              <w:spacing w:before="240" w:after="240"/>
              <w:ind w:firstLine="709"/>
              <w:rPr>
                <w:b/>
              </w:rPr>
            </w:pPr>
            <w:r>
              <w:rPr>
                <w:b/>
              </w:rPr>
              <w:t>TO</w:t>
            </w:r>
            <w:r w:rsidR="001021DC" w:rsidRPr="00227193">
              <w:rPr>
                <w:b/>
              </w:rPr>
              <w:t>B</w:t>
            </w:r>
          </w:p>
        </w:tc>
        <w:tc>
          <w:tcPr>
            <w:tcW w:w="5906" w:type="dxa"/>
          </w:tcPr>
          <w:p w:rsidR="001021DC" w:rsidRPr="00EF3B25" w:rsidRDefault="0021225D" w:rsidP="00BE41A3">
            <w:pPr>
              <w:spacing w:before="240" w:after="240"/>
              <w:ind w:firstLine="709"/>
            </w:pPr>
            <w:hyperlink r:id="rId35" w:history="1">
              <w:bookmarkStart w:id="30" w:name="_Toc487027370"/>
              <w:r w:rsidR="001021DC" w:rsidRPr="00EF3B25">
                <w:rPr>
                  <w:rFonts w:asciiTheme="minorHAnsi" w:eastAsiaTheme="minorHAnsi" w:hAnsiTheme="minorHAnsi" w:cstheme="minorBidi"/>
                </w:rPr>
                <w:t>ALO 174 Gıda Hattı</w:t>
              </w:r>
              <w:bookmarkEnd w:id="30"/>
            </w:hyperlink>
          </w:p>
        </w:tc>
      </w:tr>
      <w:tr w:rsidR="001021DC" w:rsidRPr="00EF3B25" w:rsidTr="001021DC">
        <w:tc>
          <w:tcPr>
            <w:tcW w:w="3020" w:type="dxa"/>
          </w:tcPr>
          <w:p w:rsidR="001021DC" w:rsidRPr="00227193" w:rsidRDefault="001021DC" w:rsidP="00BE41A3">
            <w:pPr>
              <w:spacing w:before="240" w:after="240"/>
              <w:ind w:firstLine="709"/>
              <w:rPr>
                <w:b/>
              </w:rPr>
            </w:pPr>
            <w:r w:rsidRPr="00227193">
              <w:rPr>
                <w:b/>
              </w:rPr>
              <w:t>SB</w:t>
            </w:r>
          </w:p>
        </w:tc>
        <w:tc>
          <w:tcPr>
            <w:tcW w:w="5906" w:type="dxa"/>
          </w:tcPr>
          <w:p w:rsidR="001021DC" w:rsidRPr="00EF3B25" w:rsidRDefault="0021225D" w:rsidP="00BE41A3">
            <w:pPr>
              <w:spacing w:before="240" w:after="240"/>
              <w:ind w:firstLine="709"/>
              <w:rPr>
                <w:rFonts w:asciiTheme="minorHAnsi" w:eastAsiaTheme="minorHAnsi" w:hAnsiTheme="minorHAnsi" w:cstheme="minorBidi"/>
                <w:bCs/>
              </w:rPr>
            </w:pPr>
            <w:hyperlink r:id="rId36" w:history="1">
              <w:bookmarkStart w:id="31" w:name="_Toc487027371"/>
              <w:r w:rsidR="001021DC" w:rsidRPr="00EF3B25">
                <w:rPr>
                  <w:rFonts w:asciiTheme="minorHAnsi" w:eastAsiaTheme="minorHAnsi" w:hAnsiTheme="minorHAnsi" w:cstheme="minorBidi"/>
                </w:rPr>
                <w:t>SABİM A</w:t>
              </w:r>
              <w:r w:rsidR="001021DC">
                <w:rPr>
                  <w:rFonts w:asciiTheme="minorHAnsi" w:eastAsiaTheme="minorHAnsi" w:hAnsiTheme="minorHAnsi" w:cstheme="minorBidi"/>
                </w:rPr>
                <w:t>LO</w:t>
              </w:r>
              <w:r w:rsidR="001021DC" w:rsidRPr="00EF3B25">
                <w:rPr>
                  <w:rFonts w:asciiTheme="minorHAnsi" w:eastAsiaTheme="minorHAnsi" w:hAnsiTheme="minorHAnsi" w:cstheme="minorBidi"/>
                </w:rPr>
                <w:t xml:space="preserve"> 184 Hattı</w:t>
              </w:r>
              <w:bookmarkEnd w:id="31"/>
            </w:hyperlink>
          </w:p>
        </w:tc>
      </w:tr>
      <w:tr w:rsidR="001021DC" w:rsidRPr="00EF3B25" w:rsidTr="001021DC">
        <w:tc>
          <w:tcPr>
            <w:tcW w:w="3020" w:type="dxa"/>
          </w:tcPr>
          <w:p w:rsidR="001021DC" w:rsidRPr="00227193" w:rsidRDefault="00A51773" w:rsidP="00BE41A3">
            <w:pPr>
              <w:spacing w:before="240" w:after="240"/>
              <w:ind w:firstLine="709"/>
              <w:rPr>
                <w:b/>
              </w:rPr>
            </w:pPr>
            <w:r>
              <w:rPr>
                <w:b/>
              </w:rPr>
              <w:t>UA</w:t>
            </w:r>
            <w:r w:rsidR="001021DC" w:rsidRPr="00227193">
              <w:rPr>
                <w:b/>
              </w:rPr>
              <w:t>B</w:t>
            </w:r>
          </w:p>
        </w:tc>
        <w:tc>
          <w:tcPr>
            <w:tcW w:w="5906" w:type="dxa"/>
          </w:tcPr>
          <w:p w:rsidR="001021DC" w:rsidRDefault="001021DC" w:rsidP="00BE41A3">
            <w:pPr>
              <w:spacing w:before="240" w:after="240"/>
              <w:ind w:firstLine="709"/>
              <w:rPr>
                <w:rFonts w:asciiTheme="minorHAnsi" w:eastAsiaTheme="minorHAnsi" w:hAnsiTheme="minorHAnsi" w:cstheme="minorBidi"/>
              </w:rPr>
            </w:pPr>
            <w:bookmarkStart w:id="32" w:name="_Toc487027372"/>
            <w:r>
              <w:rPr>
                <w:rFonts w:asciiTheme="minorHAnsi" w:eastAsiaTheme="minorHAnsi" w:hAnsiTheme="minorHAnsi" w:cstheme="minorBidi"/>
              </w:rPr>
              <w:t>Çağrı Merkezi</w:t>
            </w:r>
            <w:bookmarkEnd w:id="32"/>
          </w:p>
          <w:p w:rsidR="001021DC" w:rsidRPr="00EF3B25" w:rsidRDefault="001021DC" w:rsidP="00BE41A3">
            <w:pPr>
              <w:spacing w:before="240" w:after="240"/>
              <w:ind w:firstLine="709"/>
              <w:rPr>
                <w:rFonts w:asciiTheme="minorHAnsi" w:eastAsiaTheme="minorHAnsi" w:hAnsiTheme="minorHAnsi" w:cstheme="minorBidi"/>
                <w:bCs/>
              </w:rPr>
            </w:pPr>
            <w:bookmarkStart w:id="33" w:name="_Toc487027373"/>
            <w:r w:rsidRPr="00822A80">
              <w:rPr>
                <w:rFonts w:asciiTheme="minorHAnsi" w:eastAsiaTheme="minorHAnsi" w:hAnsiTheme="minorHAnsi" w:cstheme="minorBidi"/>
              </w:rPr>
              <w:t>444 24 07</w:t>
            </w:r>
            <w:bookmarkEnd w:id="33"/>
          </w:p>
        </w:tc>
      </w:tr>
      <w:tr w:rsidR="001021DC" w:rsidRPr="00EF3B25" w:rsidTr="001021DC">
        <w:tc>
          <w:tcPr>
            <w:tcW w:w="3020" w:type="dxa"/>
          </w:tcPr>
          <w:p w:rsidR="001021DC" w:rsidRPr="00227193" w:rsidRDefault="001021DC" w:rsidP="00BE41A3">
            <w:pPr>
              <w:spacing w:before="240" w:after="240"/>
              <w:ind w:firstLine="709"/>
              <w:rPr>
                <w:b/>
              </w:rPr>
            </w:pPr>
            <w:r w:rsidRPr="00227193">
              <w:rPr>
                <w:b/>
              </w:rPr>
              <w:t>BTK</w:t>
            </w:r>
          </w:p>
        </w:tc>
        <w:tc>
          <w:tcPr>
            <w:tcW w:w="5906" w:type="dxa"/>
          </w:tcPr>
          <w:p w:rsidR="0016568A" w:rsidRPr="008B2319" w:rsidRDefault="0016568A" w:rsidP="0016568A">
            <w:pPr>
              <w:spacing w:before="240" w:after="240"/>
              <w:ind w:firstLine="709"/>
              <w:rPr>
                <w:rFonts w:asciiTheme="minorHAnsi" w:eastAsiaTheme="minorHAnsi" w:hAnsiTheme="minorHAnsi" w:cstheme="minorBidi"/>
                <w:color w:val="000000" w:themeColor="text1"/>
              </w:rPr>
            </w:pPr>
            <w:bookmarkStart w:id="34" w:name="_Toc487027374"/>
            <w:r w:rsidRPr="008B2319">
              <w:rPr>
                <w:rFonts w:asciiTheme="minorHAnsi" w:eastAsiaTheme="minorHAnsi" w:hAnsiTheme="minorHAnsi" w:cstheme="minorBidi"/>
                <w:color w:val="000000" w:themeColor="text1"/>
              </w:rPr>
              <w:t>BTK Bilgi ve İhbar Merkezi</w:t>
            </w:r>
            <w:bookmarkEnd w:id="34"/>
          </w:p>
          <w:p w:rsidR="001021DC" w:rsidRPr="00EF3B25" w:rsidRDefault="0016568A" w:rsidP="0016568A">
            <w:pPr>
              <w:spacing w:before="240" w:after="240"/>
              <w:ind w:firstLine="709"/>
              <w:rPr>
                <w:rFonts w:asciiTheme="minorHAnsi" w:eastAsiaTheme="minorHAnsi" w:hAnsiTheme="minorHAnsi" w:cstheme="minorBidi"/>
                <w:bCs/>
              </w:rPr>
            </w:pPr>
            <w:r w:rsidRPr="008B2319">
              <w:rPr>
                <w:rFonts w:asciiTheme="minorHAnsi" w:eastAsiaTheme="minorHAnsi" w:hAnsiTheme="minorHAnsi" w:cstheme="minorBidi"/>
                <w:bCs/>
                <w:color w:val="000000" w:themeColor="text1"/>
              </w:rPr>
              <w:t xml:space="preserve">ALO 120     </w:t>
            </w:r>
          </w:p>
        </w:tc>
      </w:tr>
      <w:tr w:rsidR="001021DC" w:rsidRPr="00EF3B25" w:rsidTr="001021DC">
        <w:tc>
          <w:tcPr>
            <w:tcW w:w="3020" w:type="dxa"/>
          </w:tcPr>
          <w:p w:rsidR="001021DC" w:rsidRPr="00227193" w:rsidRDefault="001021DC" w:rsidP="00BE41A3">
            <w:pPr>
              <w:spacing w:before="240" w:after="240"/>
              <w:ind w:firstLine="709"/>
              <w:rPr>
                <w:b/>
              </w:rPr>
            </w:pPr>
            <w:r w:rsidRPr="00227193">
              <w:rPr>
                <w:b/>
              </w:rPr>
              <w:t>EPDK</w:t>
            </w:r>
          </w:p>
        </w:tc>
        <w:tc>
          <w:tcPr>
            <w:tcW w:w="5906" w:type="dxa"/>
          </w:tcPr>
          <w:p w:rsidR="001021DC" w:rsidRPr="00EF3B25" w:rsidRDefault="001021DC" w:rsidP="00BE41A3">
            <w:pPr>
              <w:spacing w:before="240" w:after="240"/>
              <w:ind w:firstLine="709"/>
              <w:rPr>
                <w:rFonts w:asciiTheme="minorHAnsi" w:eastAsiaTheme="minorHAnsi" w:hAnsiTheme="minorHAnsi" w:cstheme="minorBidi"/>
                <w:bCs/>
              </w:rPr>
            </w:pPr>
            <w:bookmarkStart w:id="35" w:name="_Toc487027376"/>
            <w:r>
              <w:rPr>
                <w:rFonts w:asciiTheme="minorHAnsi" w:eastAsiaTheme="minorHAnsi" w:hAnsiTheme="minorHAnsi" w:cstheme="minorBidi"/>
                <w:bCs/>
              </w:rPr>
              <w:t>-</w:t>
            </w:r>
            <w:bookmarkEnd w:id="35"/>
          </w:p>
        </w:tc>
      </w:tr>
    </w:tbl>
    <w:p w:rsidR="003B3502" w:rsidRDefault="003B3502" w:rsidP="00BE41A3">
      <w:pPr>
        <w:spacing w:after="240"/>
        <w:ind w:firstLine="709"/>
        <w:jc w:val="both"/>
        <w:rPr>
          <w:b/>
          <w:strike/>
          <w:color w:val="000000" w:themeColor="text1"/>
        </w:rPr>
      </w:pPr>
    </w:p>
    <w:p w:rsidR="00FE5F17" w:rsidRPr="008408F9" w:rsidRDefault="00FE5F17" w:rsidP="00413CB3">
      <w:pPr>
        <w:keepNext/>
        <w:ind w:firstLine="708"/>
        <w:outlineLvl w:val="0"/>
        <w:rPr>
          <w:b/>
        </w:rPr>
      </w:pPr>
      <w:bookmarkStart w:id="36" w:name="_Toc4892875"/>
      <w:r>
        <w:rPr>
          <w:b/>
        </w:rPr>
        <w:t>EK -2: TABLOLAR</w:t>
      </w:r>
      <w:bookmarkEnd w:id="36"/>
    </w:p>
    <w:p w:rsidR="003B3502" w:rsidRDefault="003B3502" w:rsidP="00BE41A3">
      <w:pPr>
        <w:spacing w:after="240"/>
        <w:ind w:firstLine="709"/>
        <w:jc w:val="both"/>
        <w:rPr>
          <w:b/>
          <w:strike/>
          <w:color w:val="000000" w:themeColor="text1"/>
        </w:rPr>
      </w:pPr>
    </w:p>
    <w:p w:rsidR="00897378" w:rsidRDefault="00897378" w:rsidP="00D31718">
      <w:pPr>
        <w:spacing w:after="240"/>
        <w:jc w:val="both"/>
        <w:rPr>
          <w:b/>
          <w:strike/>
          <w:color w:val="000000" w:themeColor="text1"/>
        </w:rPr>
      </w:pPr>
    </w:p>
    <w:sectPr w:rsidR="00897378" w:rsidSect="00BE41A3">
      <w:footerReference w:type="default" r:id="rId37"/>
      <w:pgSz w:w="11906" w:h="16838"/>
      <w:pgMar w:top="1417" w:right="141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25D" w:rsidRDefault="0021225D" w:rsidP="00FB59B6">
      <w:r>
        <w:separator/>
      </w:r>
    </w:p>
  </w:endnote>
  <w:endnote w:type="continuationSeparator" w:id="0">
    <w:p w:rsidR="0021225D" w:rsidRDefault="0021225D" w:rsidP="00FB59B6">
      <w:r>
        <w:continuationSeparator/>
      </w:r>
    </w:p>
  </w:endnote>
  <w:endnote w:type="continuationNotice" w:id="1">
    <w:p w:rsidR="0021225D" w:rsidRDefault="00212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Ingra-Light">
    <w:panose1 w:val="00000000000000000000"/>
    <w:charset w:val="A2"/>
    <w:family w:val="swiss"/>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872030"/>
      <w:docPartObj>
        <w:docPartGallery w:val="Page Numbers (Bottom of Page)"/>
        <w:docPartUnique/>
      </w:docPartObj>
    </w:sdtPr>
    <w:sdtContent>
      <w:p w:rsidR="0021225D" w:rsidRDefault="0021225D">
        <w:pPr>
          <w:pStyle w:val="AltBilgi"/>
          <w:jc w:val="right"/>
        </w:pPr>
        <w:r>
          <w:rPr>
            <w:noProof/>
          </w:rPr>
          <w:fldChar w:fldCharType="begin"/>
        </w:r>
        <w:r>
          <w:rPr>
            <w:noProof/>
          </w:rPr>
          <w:instrText>PAGE   \* MERGEFORMAT</w:instrText>
        </w:r>
        <w:r>
          <w:rPr>
            <w:noProof/>
          </w:rPr>
          <w:fldChar w:fldCharType="separate"/>
        </w:r>
        <w:r w:rsidR="00B34F25">
          <w:rPr>
            <w:noProof/>
          </w:rPr>
          <w:t>34</w:t>
        </w:r>
        <w:r>
          <w:rPr>
            <w:noProof/>
          </w:rPr>
          <w:fldChar w:fldCharType="end"/>
        </w:r>
      </w:p>
    </w:sdtContent>
  </w:sdt>
  <w:p w:rsidR="0021225D" w:rsidRDefault="002122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25D" w:rsidRDefault="0021225D" w:rsidP="00FB59B6">
      <w:r>
        <w:separator/>
      </w:r>
    </w:p>
  </w:footnote>
  <w:footnote w:type="continuationSeparator" w:id="0">
    <w:p w:rsidR="0021225D" w:rsidRDefault="0021225D" w:rsidP="00FB59B6">
      <w:r>
        <w:continuationSeparator/>
      </w:r>
    </w:p>
  </w:footnote>
  <w:footnote w:type="continuationNotice" w:id="1">
    <w:p w:rsidR="0021225D" w:rsidRDefault="0021225D"/>
  </w:footnote>
  <w:footnote w:id="2">
    <w:p w:rsidR="0021225D" w:rsidRPr="00A77588" w:rsidRDefault="0021225D" w:rsidP="009A5099">
      <w:pPr>
        <w:pStyle w:val="DipnotMetni"/>
        <w:jc w:val="both"/>
        <w:rPr>
          <w:color w:val="000000" w:themeColor="text1"/>
        </w:rPr>
      </w:pPr>
      <w:r w:rsidRPr="00A77588">
        <w:rPr>
          <w:rStyle w:val="DipnotBavurusu"/>
          <w:color w:val="000000" w:themeColor="text1"/>
        </w:rPr>
        <w:footnoteRef/>
      </w:r>
      <w:r w:rsidRPr="00A77588">
        <w:rPr>
          <w:color w:val="000000" w:themeColor="text1"/>
        </w:rPr>
        <w:t xml:space="preserve"> Rapordaki grafiklerde </w:t>
      </w:r>
      <w:r>
        <w:rPr>
          <w:rFonts w:eastAsiaTheme="minorHAnsi"/>
        </w:rPr>
        <w:t xml:space="preserve">STB </w:t>
      </w:r>
      <w:r w:rsidRPr="00A77588">
        <w:rPr>
          <w:color w:val="000000" w:themeColor="text1"/>
        </w:rPr>
        <w:t>(yasal metroloji ve petrol ve LPG ürünleri hariç</w:t>
      </w:r>
      <w:r w:rsidRPr="007C0081">
        <w:rPr>
          <w:color w:val="000000" w:themeColor="text1"/>
        </w:rPr>
        <w:t>),</w:t>
      </w:r>
      <w:r>
        <w:rPr>
          <w:rFonts w:eastAsiaTheme="minorHAnsi"/>
        </w:rPr>
        <w:t>AÇSHB</w:t>
      </w:r>
      <w:r>
        <w:rPr>
          <w:color w:val="000000" w:themeColor="text1"/>
        </w:rPr>
        <w:t xml:space="preserve">, ÇŞB (yapı malzemeleri), </w:t>
      </w:r>
      <w:proofErr w:type="gramStart"/>
      <w:r>
        <w:rPr>
          <w:color w:val="000000" w:themeColor="text1"/>
        </w:rPr>
        <w:t>TKPGGM</w:t>
      </w:r>
      <w:r w:rsidRPr="00A77588">
        <w:rPr>
          <w:color w:val="000000" w:themeColor="text1"/>
        </w:rPr>
        <w:t>,</w:t>
      </w:r>
      <w:r>
        <w:rPr>
          <w:color w:val="000000" w:themeColor="text1"/>
        </w:rPr>
        <w:t>TO</w:t>
      </w:r>
      <w:r w:rsidRPr="00A77588">
        <w:rPr>
          <w:color w:val="000000" w:themeColor="text1"/>
        </w:rPr>
        <w:t>B</w:t>
      </w:r>
      <w:proofErr w:type="gramEnd"/>
      <w:r>
        <w:rPr>
          <w:color w:val="000000" w:themeColor="text1"/>
        </w:rPr>
        <w:t xml:space="preserve"> (tütün </w:t>
      </w:r>
      <w:proofErr w:type="spellStart"/>
      <w:r>
        <w:rPr>
          <w:color w:val="000000" w:themeColor="text1"/>
        </w:rPr>
        <w:t>mamülleri</w:t>
      </w:r>
      <w:proofErr w:type="spellEnd"/>
      <w:r>
        <w:rPr>
          <w:color w:val="000000" w:themeColor="text1"/>
        </w:rPr>
        <w:t xml:space="preserve"> ve etil alkol hariç)</w:t>
      </w:r>
      <w:r w:rsidRPr="00A77588">
        <w:rPr>
          <w:color w:val="000000" w:themeColor="text1"/>
        </w:rPr>
        <w:t>, SB, BTK ve U</w:t>
      </w:r>
      <w:r>
        <w:rPr>
          <w:color w:val="000000" w:themeColor="text1"/>
        </w:rPr>
        <w:t>A</w:t>
      </w:r>
      <w:r w:rsidRPr="00A77588">
        <w:rPr>
          <w:color w:val="000000" w:themeColor="text1"/>
        </w:rPr>
        <w:t xml:space="preserve">B verileri kullanılmıştır. </w:t>
      </w:r>
    </w:p>
  </w:footnote>
  <w:footnote w:id="3">
    <w:p w:rsidR="0021225D" w:rsidRPr="000554FC" w:rsidRDefault="0021225D" w:rsidP="009D6E16">
      <w:pPr>
        <w:pStyle w:val="GvdeMetni"/>
        <w:spacing w:after="240"/>
        <w:rPr>
          <w:bCs/>
          <w:color w:val="000000" w:themeColor="text1"/>
        </w:rPr>
      </w:pPr>
      <w:r>
        <w:rPr>
          <w:rStyle w:val="DipnotBavurusu"/>
        </w:rPr>
        <w:footnoteRef/>
      </w:r>
      <w:r w:rsidRPr="00CA237C">
        <w:rPr>
          <w:color w:val="000000" w:themeColor="text1"/>
          <w:sz w:val="20"/>
          <w:szCs w:val="20"/>
        </w:rPr>
        <w:t>Raporda yer alan “güvensiz ürün” kavramı ile kastedilen gerçek anlamda güvensizlik arz eden (insan sağlığı</w:t>
      </w:r>
      <w:r>
        <w:rPr>
          <w:color w:val="000000" w:themeColor="text1"/>
          <w:sz w:val="20"/>
          <w:szCs w:val="20"/>
        </w:rPr>
        <w:t>,</w:t>
      </w:r>
      <w:r w:rsidRPr="00CA237C">
        <w:rPr>
          <w:color w:val="000000" w:themeColor="text1"/>
          <w:sz w:val="20"/>
          <w:szCs w:val="20"/>
        </w:rPr>
        <w:t xml:space="preserve"> can ve mal güvenliği, hayvan ve bitki yaşam ve sağlığı ile çevrenin ve tüketicinin korunması yönünden risk arz eden), dolayısıyla piyasaya arzın yasaklanması, piyasadan toplatma, ya da imha gibi müeyyidelerin uygulanmasını gerektiren ürünlerdir. “Uygunsuz ürün” kavramı ise şekli ve tali eksiklikleri tespit edilen (işaret eksikliği, kullanım kılavuzu eksikliği gibi), dolayısıyla toplatma, piyasaya arzı yasaklama, imha gibi önlemleri gerektirmeyen, ancak idari para cezası ile düzeltici önlem uygulan</w:t>
      </w:r>
      <w:r>
        <w:rPr>
          <w:color w:val="000000" w:themeColor="text1"/>
          <w:sz w:val="20"/>
          <w:szCs w:val="20"/>
        </w:rPr>
        <w:t>ması gereken</w:t>
      </w:r>
      <w:r w:rsidRPr="00CA237C">
        <w:rPr>
          <w:color w:val="000000" w:themeColor="text1"/>
          <w:sz w:val="20"/>
          <w:szCs w:val="20"/>
        </w:rPr>
        <w:t xml:space="preserve"> ürünlere işaret etmektedir.</w:t>
      </w:r>
    </w:p>
    <w:p w:rsidR="0021225D" w:rsidRDefault="0021225D">
      <w:pPr>
        <w:pStyle w:val="DipnotMetni"/>
      </w:pPr>
    </w:p>
  </w:footnote>
  <w:footnote w:id="4">
    <w:p w:rsidR="0021225D" w:rsidRPr="000554FC" w:rsidRDefault="0021225D" w:rsidP="0089104A">
      <w:pPr>
        <w:pStyle w:val="GvdeMetni"/>
        <w:spacing w:after="240"/>
        <w:rPr>
          <w:bCs/>
          <w:color w:val="000000" w:themeColor="text1"/>
        </w:rPr>
      </w:pPr>
      <w:r>
        <w:rPr>
          <w:rStyle w:val="DipnotBavurusu"/>
        </w:rPr>
        <w:footnoteRef/>
      </w:r>
      <w:r w:rsidRPr="00CA237C">
        <w:rPr>
          <w:color w:val="000000" w:themeColor="text1"/>
          <w:sz w:val="20"/>
          <w:szCs w:val="20"/>
        </w:rPr>
        <w:t>Raporda yer alan “güvensiz ürün” kavramı ile kastedilen gerçek anlamda güvensizlik arz eden (insan sağlığı</w:t>
      </w:r>
      <w:r>
        <w:rPr>
          <w:color w:val="000000" w:themeColor="text1"/>
          <w:sz w:val="20"/>
          <w:szCs w:val="20"/>
        </w:rPr>
        <w:t>,</w:t>
      </w:r>
      <w:r w:rsidRPr="00CA237C">
        <w:rPr>
          <w:color w:val="000000" w:themeColor="text1"/>
          <w:sz w:val="20"/>
          <w:szCs w:val="20"/>
        </w:rPr>
        <w:t xml:space="preserve"> can ve mal güvenliği, hayvan ve bitki yaşam ve sağlığı ile çevrenin ve tüketicinin korunması yönünden risk arz eden), dolayısıyla piyasaya arzın yasaklanması, piyasadan toplatma, ya da imha gibi müeyyidelerin uygulanmasını gerektiren ürünlerdir. “Uygunsuz ürün” kavramı ise şekli ve tali eksiklikleri tespit edilen (işaret eksikliği, kullanım kılavuzu eksikliği gibi), dolayısıyla toplatma, piyasaya arzı yasaklama, imha gibi önlemleri gerektirmeyen, ancak idari para cezası ile düzeltici önlem uygulan</w:t>
      </w:r>
      <w:r>
        <w:rPr>
          <w:color w:val="000000" w:themeColor="text1"/>
          <w:sz w:val="20"/>
          <w:szCs w:val="20"/>
        </w:rPr>
        <w:t>ması gereken</w:t>
      </w:r>
      <w:r w:rsidRPr="00CA237C">
        <w:rPr>
          <w:color w:val="000000" w:themeColor="text1"/>
          <w:sz w:val="20"/>
          <w:szCs w:val="20"/>
        </w:rPr>
        <w:t xml:space="preserve"> ürünlere işaret etmektedir.</w:t>
      </w:r>
    </w:p>
    <w:p w:rsidR="0021225D" w:rsidRDefault="0021225D" w:rsidP="0089104A">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48D"/>
    <w:multiLevelType w:val="hybridMultilevel"/>
    <w:tmpl w:val="A404B4D2"/>
    <w:lvl w:ilvl="0" w:tplc="861A0958">
      <w:start w:val="1"/>
      <w:numFmt w:val="decimal"/>
      <w:lvlText w:val="%1."/>
      <w:lvlJc w:val="left"/>
      <w:pPr>
        <w:ind w:left="502" w:hanging="360"/>
      </w:pPr>
      <w:rPr>
        <w:b/>
        <w:strike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01EC5817"/>
    <w:multiLevelType w:val="hybridMultilevel"/>
    <w:tmpl w:val="7A6CF7DC"/>
    <w:lvl w:ilvl="0" w:tplc="81E4A488">
      <w:start w:val="1"/>
      <w:numFmt w:val="upp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5263177"/>
    <w:multiLevelType w:val="hybridMultilevel"/>
    <w:tmpl w:val="16EC9AB0"/>
    <w:lvl w:ilvl="0" w:tplc="47B2DB6A">
      <w:start w:val="1"/>
      <w:numFmt w:val="decimal"/>
      <w:pStyle w:val="Balk2"/>
      <w:lvlText w:val="%1."/>
      <w:lvlJc w:val="left"/>
      <w:pPr>
        <w:ind w:left="1068"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E8386C90">
      <w:numFmt w:val="bullet"/>
      <w:lvlText w:val="-"/>
      <w:lvlJc w:val="left"/>
      <w:pPr>
        <w:ind w:left="1788" w:hanging="360"/>
      </w:pPr>
      <w:rPr>
        <w:rFonts w:ascii="Times New Roman" w:eastAsia="Times New Roman" w:hAnsi="Times New Roman" w:cs="Times New Roman" w:hint="default"/>
      </w:rPr>
    </w:lvl>
    <w:lvl w:ilvl="2" w:tplc="041F001B">
      <w:start w:val="1"/>
      <w:numFmt w:val="lowerRoman"/>
      <w:lvlText w:val="%3."/>
      <w:lvlJc w:val="right"/>
      <w:pPr>
        <w:ind w:left="2508" w:hanging="180"/>
      </w:pPr>
    </w:lvl>
    <w:lvl w:ilvl="3" w:tplc="E06E7774">
      <w:start w:val="2019"/>
      <w:numFmt w:val="decimal"/>
      <w:lvlText w:val="%4"/>
      <w:lvlJc w:val="left"/>
      <w:pPr>
        <w:ind w:left="3348" w:hanging="480"/>
      </w:pPr>
      <w:rPr>
        <w:rFonts w:hint="default"/>
      </w:r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71D0537"/>
    <w:multiLevelType w:val="hybridMultilevel"/>
    <w:tmpl w:val="9C4C8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B60FCB"/>
    <w:multiLevelType w:val="hybridMultilevel"/>
    <w:tmpl w:val="7A6CF7DC"/>
    <w:lvl w:ilvl="0" w:tplc="81E4A488">
      <w:start w:val="1"/>
      <w:numFmt w:val="upp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D6627CD"/>
    <w:multiLevelType w:val="hybridMultilevel"/>
    <w:tmpl w:val="37D0710C"/>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E2F6228"/>
    <w:multiLevelType w:val="hybridMultilevel"/>
    <w:tmpl w:val="53FE8C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A00C29"/>
    <w:multiLevelType w:val="multilevel"/>
    <w:tmpl w:val="0DC457F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3AD0F31"/>
    <w:multiLevelType w:val="hybridMultilevel"/>
    <w:tmpl w:val="12E06008"/>
    <w:lvl w:ilvl="0" w:tplc="041F000F">
      <w:start w:val="1"/>
      <w:numFmt w:val="decimal"/>
      <w:lvlText w:val="%1."/>
      <w:lvlJc w:val="left"/>
      <w:pPr>
        <w:ind w:left="4326" w:hanging="360"/>
      </w:pPr>
      <w:rPr>
        <w:rFonts w:hint="default"/>
      </w:rPr>
    </w:lvl>
    <w:lvl w:ilvl="1" w:tplc="041F0019">
      <w:start w:val="1"/>
      <w:numFmt w:val="lowerLetter"/>
      <w:lvlText w:val="%2."/>
      <w:lvlJc w:val="left"/>
      <w:pPr>
        <w:ind w:left="5046" w:hanging="360"/>
      </w:pPr>
    </w:lvl>
    <w:lvl w:ilvl="2" w:tplc="041F001B" w:tentative="1">
      <w:start w:val="1"/>
      <w:numFmt w:val="lowerRoman"/>
      <w:lvlText w:val="%3."/>
      <w:lvlJc w:val="right"/>
      <w:pPr>
        <w:ind w:left="5766" w:hanging="180"/>
      </w:pPr>
    </w:lvl>
    <w:lvl w:ilvl="3" w:tplc="041F000F" w:tentative="1">
      <w:start w:val="1"/>
      <w:numFmt w:val="decimal"/>
      <w:lvlText w:val="%4."/>
      <w:lvlJc w:val="left"/>
      <w:pPr>
        <w:ind w:left="6486" w:hanging="360"/>
      </w:pPr>
    </w:lvl>
    <w:lvl w:ilvl="4" w:tplc="041F0019" w:tentative="1">
      <w:start w:val="1"/>
      <w:numFmt w:val="lowerLetter"/>
      <w:lvlText w:val="%5."/>
      <w:lvlJc w:val="left"/>
      <w:pPr>
        <w:ind w:left="7206" w:hanging="360"/>
      </w:pPr>
    </w:lvl>
    <w:lvl w:ilvl="5" w:tplc="041F001B" w:tentative="1">
      <w:start w:val="1"/>
      <w:numFmt w:val="lowerRoman"/>
      <w:lvlText w:val="%6."/>
      <w:lvlJc w:val="right"/>
      <w:pPr>
        <w:ind w:left="7926" w:hanging="180"/>
      </w:pPr>
    </w:lvl>
    <w:lvl w:ilvl="6" w:tplc="041F000F" w:tentative="1">
      <w:start w:val="1"/>
      <w:numFmt w:val="decimal"/>
      <w:lvlText w:val="%7."/>
      <w:lvlJc w:val="left"/>
      <w:pPr>
        <w:ind w:left="8646" w:hanging="360"/>
      </w:pPr>
    </w:lvl>
    <w:lvl w:ilvl="7" w:tplc="041F0019" w:tentative="1">
      <w:start w:val="1"/>
      <w:numFmt w:val="lowerLetter"/>
      <w:lvlText w:val="%8."/>
      <w:lvlJc w:val="left"/>
      <w:pPr>
        <w:ind w:left="9366" w:hanging="360"/>
      </w:pPr>
    </w:lvl>
    <w:lvl w:ilvl="8" w:tplc="041F001B" w:tentative="1">
      <w:start w:val="1"/>
      <w:numFmt w:val="lowerRoman"/>
      <w:lvlText w:val="%9."/>
      <w:lvlJc w:val="right"/>
      <w:pPr>
        <w:ind w:left="10086" w:hanging="180"/>
      </w:pPr>
    </w:lvl>
  </w:abstractNum>
  <w:abstractNum w:abstractNumId="9" w15:restartNumberingAfterBreak="0">
    <w:nsid w:val="167F457F"/>
    <w:multiLevelType w:val="hybridMultilevel"/>
    <w:tmpl w:val="D420573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0" w15:restartNumberingAfterBreak="0">
    <w:nsid w:val="28D36982"/>
    <w:multiLevelType w:val="hybridMultilevel"/>
    <w:tmpl w:val="3CCE2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34145F"/>
    <w:multiLevelType w:val="hybridMultilevel"/>
    <w:tmpl w:val="71F07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FF0E7F"/>
    <w:multiLevelType w:val="hybridMultilevel"/>
    <w:tmpl w:val="A712FDE2"/>
    <w:lvl w:ilvl="0" w:tplc="543AC8C0">
      <w:start w:val="1"/>
      <w:numFmt w:val="bullet"/>
      <w:lvlText w:val="•"/>
      <w:lvlJc w:val="left"/>
      <w:pPr>
        <w:tabs>
          <w:tab w:val="num" w:pos="720"/>
        </w:tabs>
        <w:ind w:left="720" w:hanging="360"/>
      </w:pPr>
      <w:rPr>
        <w:rFonts w:ascii="Arial" w:hAnsi="Arial" w:hint="default"/>
      </w:rPr>
    </w:lvl>
    <w:lvl w:ilvl="1" w:tplc="FBC6909C" w:tentative="1">
      <w:start w:val="1"/>
      <w:numFmt w:val="bullet"/>
      <w:lvlText w:val="•"/>
      <w:lvlJc w:val="left"/>
      <w:pPr>
        <w:tabs>
          <w:tab w:val="num" w:pos="1440"/>
        </w:tabs>
        <w:ind w:left="1440" w:hanging="360"/>
      </w:pPr>
      <w:rPr>
        <w:rFonts w:ascii="Arial" w:hAnsi="Arial" w:hint="default"/>
      </w:rPr>
    </w:lvl>
    <w:lvl w:ilvl="2" w:tplc="34C2815E">
      <w:start w:val="1"/>
      <w:numFmt w:val="bullet"/>
      <w:lvlText w:val="•"/>
      <w:lvlJc w:val="left"/>
      <w:pPr>
        <w:tabs>
          <w:tab w:val="num" w:pos="2160"/>
        </w:tabs>
        <w:ind w:left="2160" w:hanging="360"/>
      </w:pPr>
      <w:rPr>
        <w:rFonts w:ascii="Arial" w:hAnsi="Arial" w:hint="default"/>
      </w:rPr>
    </w:lvl>
    <w:lvl w:ilvl="3" w:tplc="7B588188" w:tentative="1">
      <w:start w:val="1"/>
      <w:numFmt w:val="bullet"/>
      <w:lvlText w:val="•"/>
      <w:lvlJc w:val="left"/>
      <w:pPr>
        <w:tabs>
          <w:tab w:val="num" w:pos="2880"/>
        </w:tabs>
        <w:ind w:left="2880" w:hanging="360"/>
      </w:pPr>
      <w:rPr>
        <w:rFonts w:ascii="Arial" w:hAnsi="Arial" w:hint="default"/>
      </w:rPr>
    </w:lvl>
    <w:lvl w:ilvl="4" w:tplc="E0FCE414" w:tentative="1">
      <w:start w:val="1"/>
      <w:numFmt w:val="bullet"/>
      <w:lvlText w:val="•"/>
      <w:lvlJc w:val="left"/>
      <w:pPr>
        <w:tabs>
          <w:tab w:val="num" w:pos="3600"/>
        </w:tabs>
        <w:ind w:left="3600" w:hanging="360"/>
      </w:pPr>
      <w:rPr>
        <w:rFonts w:ascii="Arial" w:hAnsi="Arial" w:hint="default"/>
      </w:rPr>
    </w:lvl>
    <w:lvl w:ilvl="5" w:tplc="93BE6014" w:tentative="1">
      <w:start w:val="1"/>
      <w:numFmt w:val="bullet"/>
      <w:lvlText w:val="•"/>
      <w:lvlJc w:val="left"/>
      <w:pPr>
        <w:tabs>
          <w:tab w:val="num" w:pos="4320"/>
        </w:tabs>
        <w:ind w:left="4320" w:hanging="360"/>
      </w:pPr>
      <w:rPr>
        <w:rFonts w:ascii="Arial" w:hAnsi="Arial" w:hint="default"/>
      </w:rPr>
    </w:lvl>
    <w:lvl w:ilvl="6" w:tplc="44F828F0" w:tentative="1">
      <w:start w:val="1"/>
      <w:numFmt w:val="bullet"/>
      <w:lvlText w:val="•"/>
      <w:lvlJc w:val="left"/>
      <w:pPr>
        <w:tabs>
          <w:tab w:val="num" w:pos="5040"/>
        </w:tabs>
        <w:ind w:left="5040" w:hanging="360"/>
      </w:pPr>
      <w:rPr>
        <w:rFonts w:ascii="Arial" w:hAnsi="Arial" w:hint="default"/>
      </w:rPr>
    </w:lvl>
    <w:lvl w:ilvl="7" w:tplc="CAE677EC" w:tentative="1">
      <w:start w:val="1"/>
      <w:numFmt w:val="bullet"/>
      <w:lvlText w:val="•"/>
      <w:lvlJc w:val="left"/>
      <w:pPr>
        <w:tabs>
          <w:tab w:val="num" w:pos="5760"/>
        </w:tabs>
        <w:ind w:left="5760" w:hanging="360"/>
      </w:pPr>
      <w:rPr>
        <w:rFonts w:ascii="Arial" w:hAnsi="Arial" w:hint="default"/>
      </w:rPr>
    </w:lvl>
    <w:lvl w:ilvl="8" w:tplc="F83469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710C95"/>
    <w:multiLevelType w:val="hybridMultilevel"/>
    <w:tmpl w:val="B39AB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EE460E"/>
    <w:multiLevelType w:val="hybridMultilevel"/>
    <w:tmpl w:val="711A57D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3E32329E"/>
    <w:multiLevelType w:val="hybridMultilevel"/>
    <w:tmpl w:val="481A7C1E"/>
    <w:lvl w:ilvl="0" w:tplc="041F0001">
      <w:start w:val="1"/>
      <w:numFmt w:val="bullet"/>
      <w:lvlText w:val=""/>
      <w:lvlJc w:val="left"/>
      <w:pPr>
        <w:ind w:left="1571" w:hanging="360"/>
      </w:pPr>
      <w:rPr>
        <w:rFonts w:ascii="Symbol" w:hAnsi="Symbol" w:hint="default"/>
        <w:b w:val="0"/>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6" w15:restartNumberingAfterBreak="0">
    <w:nsid w:val="3FB548D0"/>
    <w:multiLevelType w:val="hybridMultilevel"/>
    <w:tmpl w:val="43F81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8A02AC"/>
    <w:multiLevelType w:val="hybridMultilevel"/>
    <w:tmpl w:val="C5BEABC0"/>
    <w:lvl w:ilvl="0" w:tplc="75B64DF0">
      <w:start w:val="1"/>
      <w:numFmt w:val="upperRoman"/>
      <w:pStyle w:val="Balk1"/>
      <w:lvlText w:val="%1."/>
      <w:lvlJc w:val="left"/>
      <w:pPr>
        <w:ind w:left="862"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C49C5"/>
    <w:multiLevelType w:val="hybridMultilevel"/>
    <w:tmpl w:val="55A4D2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19" w15:restartNumberingAfterBreak="0">
    <w:nsid w:val="46DB07D1"/>
    <w:multiLevelType w:val="hybridMultilevel"/>
    <w:tmpl w:val="387076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2C08B2"/>
    <w:multiLevelType w:val="hybridMultilevel"/>
    <w:tmpl w:val="10EC79B0"/>
    <w:lvl w:ilvl="0" w:tplc="B1EA0CB8">
      <w:start w:val="1"/>
      <w:numFmt w:val="bullet"/>
      <w:lvlText w:val=""/>
      <w:lvlJc w:val="left"/>
      <w:pPr>
        <w:ind w:left="1287" w:hanging="360"/>
      </w:pPr>
      <w:rPr>
        <w:rFonts w:ascii="Symbol" w:hAnsi="Symbol" w:hint="default"/>
        <w:strike w:val="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15:restartNumberingAfterBreak="0">
    <w:nsid w:val="59CE797F"/>
    <w:multiLevelType w:val="hybridMultilevel"/>
    <w:tmpl w:val="AFBC4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AEB7FD8"/>
    <w:multiLevelType w:val="hybridMultilevel"/>
    <w:tmpl w:val="9BDE27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6E5B6513"/>
    <w:multiLevelType w:val="hybridMultilevel"/>
    <w:tmpl w:val="B81A42CA"/>
    <w:lvl w:ilvl="0" w:tplc="E8386C90">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6FDC168E"/>
    <w:multiLevelType w:val="hybridMultilevel"/>
    <w:tmpl w:val="1166DAB6"/>
    <w:lvl w:ilvl="0" w:tplc="0EB2147E">
      <w:start w:val="1"/>
      <w:numFmt w:val="decimal"/>
      <w:lvlText w:val="%1."/>
      <w:lvlJc w:val="left"/>
      <w:pPr>
        <w:tabs>
          <w:tab w:val="num" w:pos="720"/>
        </w:tabs>
        <w:ind w:left="720" w:hanging="360"/>
      </w:pPr>
    </w:lvl>
    <w:lvl w:ilvl="1" w:tplc="A2B219C4" w:tentative="1">
      <w:start w:val="1"/>
      <w:numFmt w:val="decimal"/>
      <w:lvlText w:val="%2."/>
      <w:lvlJc w:val="left"/>
      <w:pPr>
        <w:tabs>
          <w:tab w:val="num" w:pos="1440"/>
        </w:tabs>
        <w:ind w:left="1440" w:hanging="360"/>
      </w:pPr>
    </w:lvl>
    <w:lvl w:ilvl="2" w:tplc="E3B2D27A" w:tentative="1">
      <w:start w:val="1"/>
      <w:numFmt w:val="decimal"/>
      <w:lvlText w:val="%3."/>
      <w:lvlJc w:val="left"/>
      <w:pPr>
        <w:tabs>
          <w:tab w:val="num" w:pos="2160"/>
        </w:tabs>
        <w:ind w:left="2160" w:hanging="360"/>
      </w:pPr>
    </w:lvl>
    <w:lvl w:ilvl="3" w:tplc="0A7488CC" w:tentative="1">
      <w:start w:val="1"/>
      <w:numFmt w:val="decimal"/>
      <w:lvlText w:val="%4."/>
      <w:lvlJc w:val="left"/>
      <w:pPr>
        <w:tabs>
          <w:tab w:val="num" w:pos="2880"/>
        </w:tabs>
        <w:ind w:left="2880" w:hanging="360"/>
      </w:pPr>
    </w:lvl>
    <w:lvl w:ilvl="4" w:tplc="A1FE39EC" w:tentative="1">
      <w:start w:val="1"/>
      <w:numFmt w:val="decimal"/>
      <w:lvlText w:val="%5."/>
      <w:lvlJc w:val="left"/>
      <w:pPr>
        <w:tabs>
          <w:tab w:val="num" w:pos="3600"/>
        </w:tabs>
        <w:ind w:left="3600" w:hanging="360"/>
      </w:pPr>
    </w:lvl>
    <w:lvl w:ilvl="5" w:tplc="99689476" w:tentative="1">
      <w:start w:val="1"/>
      <w:numFmt w:val="decimal"/>
      <w:lvlText w:val="%6."/>
      <w:lvlJc w:val="left"/>
      <w:pPr>
        <w:tabs>
          <w:tab w:val="num" w:pos="4320"/>
        </w:tabs>
        <w:ind w:left="4320" w:hanging="360"/>
      </w:pPr>
    </w:lvl>
    <w:lvl w:ilvl="6" w:tplc="1D06E6F2" w:tentative="1">
      <w:start w:val="1"/>
      <w:numFmt w:val="decimal"/>
      <w:lvlText w:val="%7."/>
      <w:lvlJc w:val="left"/>
      <w:pPr>
        <w:tabs>
          <w:tab w:val="num" w:pos="5040"/>
        </w:tabs>
        <w:ind w:left="5040" w:hanging="360"/>
      </w:pPr>
    </w:lvl>
    <w:lvl w:ilvl="7" w:tplc="79309256" w:tentative="1">
      <w:start w:val="1"/>
      <w:numFmt w:val="decimal"/>
      <w:lvlText w:val="%8."/>
      <w:lvlJc w:val="left"/>
      <w:pPr>
        <w:tabs>
          <w:tab w:val="num" w:pos="5760"/>
        </w:tabs>
        <w:ind w:left="5760" w:hanging="360"/>
      </w:pPr>
    </w:lvl>
    <w:lvl w:ilvl="8" w:tplc="8D92B186" w:tentative="1">
      <w:start w:val="1"/>
      <w:numFmt w:val="decimal"/>
      <w:lvlText w:val="%9."/>
      <w:lvlJc w:val="left"/>
      <w:pPr>
        <w:tabs>
          <w:tab w:val="num" w:pos="6480"/>
        </w:tabs>
        <w:ind w:left="6480" w:hanging="360"/>
      </w:pPr>
    </w:lvl>
  </w:abstractNum>
  <w:abstractNum w:abstractNumId="25" w15:restartNumberingAfterBreak="0">
    <w:nsid w:val="79AE6519"/>
    <w:multiLevelType w:val="hybridMultilevel"/>
    <w:tmpl w:val="01183952"/>
    <w:lvl w:ilvl="0" w:tplc="99E8C4A2">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7"/>
  </w:num>
  <w:num w:numId="2">
    <w:abstractNumId w:val="7"/>
  </w:num>
  <w:num w:numId="3">
    <w:abstractNumId w:val="5"/>
  </w:num>
  <w:num w:numId="4">
    <w:abstractNumId w:val="0"/>
  </w:num>
  <w:num w:numId="5">
    <w:abstractNumId w:val="2"/>
  </w:num>
  <w:num w:numId="6">
    <w:abstractNumId w:val="18"/>
  </w:num>
  <w:num w:numId="7">
    <w:abstractNumId w:val="11"/>
  </w:num>
  <w:num w:numId="8">
    <w:abstractNumId w:val="19"/>
  </w:num>
  <w:num w:numId="9">
    <w:abstractNumId w:val="20"/>
  </w:num>
  <w:num w:numId="10">
    <w:abstractNumId w:val="13"/>
  </w:num>
  <w:num w:numId="11">
    <w:abstractNumId w:val="3"/>
  </w:num>
  <w:num w:numId="12">
    <w:abstractNumId w:val="16"/>
  </w:num>
  <w:num w:numId="13">
    <w:abstractNumId w:val="21"/>
  </w:num>
  <w:num w:numId="14">
    <w:abstractNumId w:val="9"/>
  </w:num>
  <w:num w:numId="15">
    <w:abstractNumId w:val="8"/>
  </w:num>
  <w:num w:numId="16">
    <w:abstractNumId w:val="23"/>
  </w:num>
  <w:num w:numId="17">
    <w:abstractNumId w:val="6"/>
  </w:num>
  <w:num w:numId="18">
    <w:abstractNumId w:val="14"/>
  </w:num>
  <w:num w:numId="19">
    <w:abstractNumId w:val="22"/>
  </w:num>
  <w:num w:numId="20">
    <w:abstractNumId w:val="10"/>
  </w:num>
  <w:num w:numId="21">
    <w:abstractNumId w:val="24"/>
  </w:num>
  <w:num w:numId="22">
    <w:abstractNumId w:val="12"/>
  </w:num>
  <w:num w:numId="23">
    <w:abstractNumId w:val="2"/>
    <w:lvlOverride w:ilvl="0">
      <w:startOverride w:val="1"/>
    </w:lvlOverride>
  </w:num>
  <w:num w:numId="24">
    <w:abstractNumId w:val="15"/>
  </w:num>
  <w:num w:numId="25">
    <w:abstractNumId w:val="2"/>
  </w:num>
  <w:num w:numId="26">
    <w:abstractNumId w:val="2"/>
  </w:num>
  <w:num w:numId="27">
    <w:abstractNumId w:val="17"/>
  </w:num>
  <w:num w:numId="28">
    <w:abstractNumId w:val="4"/>
  </w:num>
  <w:num w:numId="29">
    <w:abstractNumId w:val="17"/>
  </w:num>
  <w:num w:numId="30">
    <w:abstractNumId w:val="17"/>
  </w:num>
  <w:num w:numId="31">
    <w:abstractNumId w:val="17"/>
  </w:num>
  <w:num w:numId="32">
    <w:abstractNumId w:val="17"/>
  </w:num>
  <w:num w:numId="33">
    <w:abstractNumId w:val="17"/>
  </w:num>
  <w:num w:numId="34">
    <w:abstractNumId w:val="1"/>
  </w:num>
  <w:num w:numId="35">
    <w:abstractNumId w:val="17"/>
  </w:num>
  <w:num w:numId="36">
    <w:abstractNumId w:val="17"/>
  </w:num>
  <w:num w:numId="37">
    <w:abstractNumId w:val="25"/>
  </w:num>
  <w:num w:numId="38">
    <w:abstractNumId w:val="17"/>
  </w:num>
  <w:num w:numId="39">
    <w:abstractNumId w:val="17"/>
  </w:num>
  <w:num w:numId="40">
    <w:abstractNumId w:val="17"/>
  </w:num>
  <w:num w:numId="41">
    <w:abstractNumId w:val="17"/>
  </w:num>
  <w:num w:numId="4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B6"/>
    <w:rsid w:val="00001849"/>
    <w:rsid w:val="000019BD"/>
    <w:rsid w:val="00001E96"/>
    <w:rsid w:val="00002507"/>
    <w:rsid w:val="00004B09"/>
    <w:rsid w:val="00004B9C"/>
    <w:rsid w:val="000052BD"/>
    <w:rsid w:val="0000753E"/>
    <w:rsid w:val="00007738"/>
    <w:rsid w:val="00010088"/>
    <w:rsid w:val="00010BA1"/>
    <w:rsid w:val="000113F9"/>
    <w:rsid w:val="00011C2A"/>
    <w:rsid w:val="000121D0"/>
    <w:rsid w:val="00012D25"/>
    <w:rsid w:val="0001302D"/>
    <w:rsid w:val="00014CBD"/>
    <w:rsid w:val="000158BC"/>
    <w:rsid w:val="00016095"/>
    <w:rsid w:val="0002084A"/>
    <w:rsid w:val="00024FDF"/>
    <w:rsid w:val="0002595F"/>
    <w:rsid w:val="0002606B"/>
    <w:rsid w:val="000265BA"/>
    <w:rsid w:val="000269B7"/>
    <w:rsid w:val="00030EDF"/>
    <w:rsid w:val="000312CE"/>
    <w:rsid w:val="00031BFF"/>
    <w:rsid w:val="00033264"/>
    <w:rsid w:val="00033693"/>
    <w:rsid w:val="00034615"/>
    <w:rsid w:val="00034F70"/>
    <w:rsid w:val="00035129"/>
    <w:rsid w:val="00035846"/>
    <w:rsid w:val="0004005E"/>
    <w:rsid w:val="00041981"/>
    <w:rsid w:val="00041B25"/>
    <w:rsid w:val="00042431"/>
    <w:rsid w:val="00042870"/>
    <w:rsid w:val="00042D05"/>
    <w:rsid w:val="00042EC1"/>
    <w:rsid w:val="00044C84"/>
    <w:rsid w:val="00045AD9"/>
    <w:rsid w:val="00045CDC"/>
    <w:rsid w:val="000460B3"/>
    <w:rsid w:val="00046293"/>
    <w:rsid w:val="000470D8"/>
    <w:rsid w:val="00047CA5"/>
    <w:rsid w:val="000515D3"/>
    <w:rsid w:val="000528E2"/>
    <w:rsid w:val="000534C8"/>
    <w:rsid w:val="00053666"/>
    <w:rsid w:val="0005377D"/>
    <w:rsid w:val="00054002"/>
    <w:rsid w:val="000554E3"/>
    <w:rsid w:val="000554FC"/>
    <w:rsid w:val="0005643B"/>
    <w:rsid w:val="00056F35"/>
    <w:rsid w:val="00057765"/>
    <w:rsid w:val="0005780C"/>
    <w:rsid w:val="00057ED6"/>
    <w:rsid w:val="00060479"/>
    <w:rsid w:val="00060966"/>
    <w:rsid w:val="00061CCF"/>
    <w:rsid w:val="00062019"/>
    <w:rsid w:val="0006241D"/>
    <w:rsid w:val="00062A1F"/>
    <w:rsid w:val="00063024"/>
    <w:rsid w:val="00063C03"/>
    <w:rsid w:val="00063EE3"/>
    <w:rsid w:val="00064015"/>
    <w:rsid w:val="00065442"/>
    <w:rsid w:val="0006613F"/>
    <w:rsid w:val="000670B0"/>
    <w:rsid w:val="00067D9C"/>
    <w:rsid w:val="0007069F"/>
    <w:rsid w:val="000717F8"/>
    <w:rsid w:val="000721C3"/>
    <w:rsid w:val="00072488"/>
    <w:rsid w:val="00072CAA"/>
    <w:rsid w:val="0007308F"/>
    <w:rsid w:val="00073889"/>
    <w:rsid w:val="000745C0"/>
    <w:rsid w:val="00075418"/>
    <w:rsid w:val="00076128"/>
    <w:rsid w:val="000764A7"/>
    <w:rsid w:val="00076BD5"/>
    <w:rsid w:val="00076EAD"/>
    <w:rsid w:val="000800D5"/>
    <w:rsid w:val="0008060C"/>
    <w:rsid w:val="00080717"/>
    <w:rsid w:val="0008139B"/>
    <w:rsid w:val="00081E0F"/>
    <w:rsid w:val="00082BF0"/>
    <w:rsid w:val="00083096"/>
    <w:rsid w:val="000848C9"/>
    <w:rsid w:val="0008662F"/>
    <w:rsid w:val="0008774A"/>
    <w:rsid w:val="00090900"/>
    <w:rsid w:val="00090B8C"/>
    <w:rsid w:val="000914B9"/>
    <w:rsid w:val="0009165C"/>
    <w:rsid w:val="000925D0"/>
    <w:rsid w:val="00092C13"/>
    <w:rsid w:val="00093559"/>
    <w:rsid w:val="000938E4"/>
    <w:rsid w:val="00093FF9"/>
    <w:rsid w:val="000943FD"/>
    <w:rsid w:val="00094623"/>
    <w:rsid w:val="00094B1B"/>
    <w:rsid w:val="00094C88"/>
    <w:rsid w:val="00095F9E"/>
    <w:rsid w:val="00095FFD"/>
    <w:rsid w:val="0009655F"/>
    <w:rsid w:val="00097758"/>
    <w:rsid w:val="000978FD"/>
    <w:rsid w:val="000979C8"/>
    <w:rsid w:val="000A0093"/>
    <w:rsid w:val="000A027A"/>
    <w:rsid w:val="000A0940"/>
    <w:rsid w:val="000A1146"/>
    <w:rsid w:val="000A181E"/>
    <w:rsid w:val="000A1CC2"/>
    <w:rsid w:val="000A1E98"/>
    <w:rsid w:val="000A32EA"/>
    <w:rsid w:val="000A3A7A"/>
    <w:rsid w:val="000A5641"/>
    <w:rsid w:val="000A6567"/>
    <w:rsid w:val="000B02E8"/>
    <w:rsid w:val="000B1BB6"/>
    <w:rsid w:val="000B223F"/>
    <w:rsid w:val="000B2519"/>
    <w:rsid w:val="000B2D2A"/>
    <w:rsid w:val="000B30A7"/>
    <w:rsid w:val="000B4CA8"/>
    <w:rsid w:val="000B4CBF"/>
    <w:rsid w:val="000B571D"/>
    <w:rsid w:val="000B58BA"/>
    <w:rsid w:val="000B5BC8"/>
    <w:rsid w:val="000B66BD"/>
    <w:rsid w:val="000B6A38"/>
    <w:rsid w:val="000B721C"/>
    <w:rsid w:val="000C012C"/>
    <w:rsid w:val="000C0F57"/>
    <w:rsid w:val="000C1EBE"/>
    <w:rsid w:val="000C20D5"/>
    <w:rsid w:val="000C225A"/>
    <w:rsid w:val="000C232B"/>
    <w:rsid w:val="000C274F"/>
    <w:rsid w:val="000C2BE5"/>
    <w:rsid w:val="000C3BE7"/>
    <w:rsid w:val="000C6626"/>
    <w:rsid w:val="000C71EB"/>
    <w:rsid w:val="000C72C0"/>
    <w:rsid w:val="000C7B5C"/>
    <w:rsid w:val="000D0470"/>
    <w:rsid w:val="000D0698"/>
    <w:rsid w:val="000D24C5"/>
    <w:rsid w:val="000D2B0A"/>
    <w:rsid w:val="000D3B83"/>
    <w:rsid w:val="000D4DDC"/>
    <w:rsid w:val="000D5EDD"/>
    <w:rsid w:val="000D68F9"/>
    <w:rsid w:val="000D6951"/>
    <w:rsid w:val="000D6E63"/>
    <w:rsid w:val="000D7373"/>
    <w:rsid w:val="000D7BF4"/>
    <w:rsid w:val="000E03E6"/>
    <w:rsid w:val="000E06B3"/>
    <w:rsid w:val="000E0CA6"/>
    <w:rsid w:val="000E1BB6"/>
    <w:rsid w:val="000E26D1"/>
    <w:rsid w:val="000E2D61"/>
    <w:rsid w:val="000E2D86"/>
    <w:rsid w:val="000E31A2"/>
    <w:rsid w:val="000E3D72"/>
    <w:rsid w:val="000E404F"/>
    <w:rsid w:val="000E4B17"/>
    <w:rsid w:val="000E4FCF"/>
    <w:rsid w:val="000E4FDE"/>
    <w:rsid w:val="000E5DDC"/>
    <w:rsid w:val="000E644E"/>
    <w:rsid w:val="000E66AF"/>
    <w:rsid w:val="000E6815"/>
    <w:rsid w:val="000E6B65"/>
    <w:rsid w:val="000E6C8D"/>
    <w:rsid w:val="000E6D88"/>
    <w:rsid w:val="000E70C1"/>
    <w:rsid w:val="000E72F7"/>
    <w:rsid w:val="000E7B53"/>
    <w:rsid w:val="000E7EC1"/>
    <w:rsid w:val="000F0183"/>
    <w:rsid w:val="000F0485"/>
    <w:rsid w:val="000F16F9"/>
    <w:rsid w:val="000F17DB"/>
    <w:rsid w:val="000F1F65"/>
    <w:rsid w:val="000F20F7"/>
    <w:rsid w:val="000F2127"/>
    <w:rsid w:val="000F35C2"/>
    <w:rsid w:val="000F48BA"/>
    <w:rsid w:val="000F532C"/>
    <w:rsid w:val="000F734E"/>
    <w:rsid w:val="000F7D1F"/>
    <w:rsid w:val="00100058"/>
    <w:rsid w:val="0010029D"/>
    <w:rsid w:val="00100363"/>
    <w:rsid w:val="00101153"/>
    <w:rsid w:val="0010160F"/>
    <w:rsid w:val="001017D2"/>
    <w:rsid w:val="00101A26"/>
    <w:rsid w:val="001021DC"/>
    <w:rsid w:val="00104559"/>
    <w:rsid w:val="001053C9"/>
    <w:rsid w:val="00105D19"/>
    <w:rsid w:val="00106DF4"/>
    <w:rsid w:val="00107304"/>
    <w:rsid w:val="00107774"/>
    <w:rsid w:val="00107970"/>
    <w:rsid w:val="001112C6"/>
    <w:rsid w:val="00111FFA"/>
    <w:rsid w:val="001120F6"/>
    <w:rsid w:val="001128CC"/>
    <w:rsid w:val="00112C45"/>
    <w:rsid w:val="00113BD4"/>
    <w:rsid w:val="00113C90"/>
    <w:rsid w:val="00114625"/>
    <w:rsid w:val="0011534F"/>
    <w:rsid w:val="00115485"/>
    <w:rsid w:val="00115756"/>
    <w:rsid w:val="00115AFC"/>
    <w:rsid w:val="0012068B"/>
    <w:rsid w:val="00120855"/>
    <w:rsid w:val="0012092D"/>
    <w:rsid w:val="00120B3D"/>
    <w:rsid w:val="00120FF0"/>
    <w:rsid w:val="00122360"/>
    <w:rsid w:val="001224DB"/>
    <w:rsid w:val="00123C8E"/>
    <w:rsid w:val="00125CAC"/>
    <w:rsid w:val="00125DD5"/>
    <w:rsid w:val="00130E38"/>
    <w:rsid w:val="00130E65"/>
    <w:rsid w:val="00130F86"/>
    <w:rsid w:val="00131034"/>
    <w:rsid w:val="0013167E"/>
    <w:rsid w:val="00132182"/>
    <w:rsid w:val="001334F3"/>
    <w:rsid w:val="00134414"/>
    <w:rsid w:val="0013690A"/>
    <w:rsid w:val="00136F27"/>
    <w:rsid w:val="0013759A"/>
    <w:rsid w:val="00140380"/>
    <w:rsid w:val="00141FAE"/>
    <w:rsid w:val="0014213C"/>
    <w:rsid w:val="001426E5"/>
    <w:rsid w:val="001433DF"/>
    <w:rsid w:val="00144C4D"/>
    <w:rsid w:val="001460BD"/>
    <w:rsid w:val="00150A98"/>
    <w:rsid w:val="0015104B"/>
    <w:rsid w:val="001519B3"/>
    <w:rsid w:val="001522ED"/>
    <w:rsid w:val="00154019"/>
    <w:rsid w:val="00155337"/>
    <w:rsid w:val="00155635"/>
    <w:rsid w:val="00155703"/>
    <w:rsid w:val="00156ABB"/>
    <w:rsid w:val="001579ED"/>
    <w:rsid w:val="001606A0"/>
    <w:rsid w:val="00160B29"/>
    <w:rsid w:val="00160EC2"/>
    <w:rsid w:val="00161C9E"/>
    <w:rsid w:val="001623C5"/>
    <w:rsid w:val="00162D29"/>
    <w:rsid w:val="00163142"/>
    <w:rsid w:val="00163BCA"/>
    <w:rsid w:val="00165245"/>
    <w:rsid w:val="00165514"/>
    <w:rsid w:val="0016568A"/>
    <w:rsid w:val="0016676F"/>
    <w:rsid w:val="00167275"/>
    <w:rsid w:val="0016783A"/>
    <w:rsid w:val="00167E45"/>
    <w:rsid w:val="001703D3"/>
    <w:rsid w:val="0017043A"/>
    <w:rsid w:val="0017133F"/>
    <w:rsid w:val="00171C56"/>
    <w:rsid w:val="00171CBF"/>
    <w:rsid w:val="00172504"/>
    <w:rsid w:val="001728C8"/>
    <w:rsid w:val="00173152"/>
    <w:rsid w:val="00173815"/>
    <w:rsid w:val="001743BE"/>
    <w:rsid w:val="00175C64"/>
    <w:rsid w:val="00176287"/>
    <w:rsid w:val="0017664A"/>
    <w:rsid w:val="00176831"/>
    <w:rsid w:val="00180C6C"/>
    <w:rsid w:val="00181580"/>
    <w:rsid w:val="001828C8"/>
    <w:rsid w:val="0018303E"/>
    <w:rsid w:val="00186992"/>
    <w:rsid w:val="00186CBE"/>
    <w:rsid w:val="001870BB"/>
    <w:rsid w:val="00187534"/>
    <w:rsid w:val="00187E29"/>
    <w:rsid w:val="001909B6"/>
    <w:rsid w:val="00190F1E"/>
    <w:rsid w:val="0019142F"/>
    <w:rsid w:val="00192EDE"/>
    <w:rsid w:val="00193601"/>
    <w:rsid w:val="00193CC2"/>
    <w:rsid w:val="0019427A"/>
    <w:rsid w:val="00194AEF"/>
    <w:rsid w:val="0019793E"/>
    <w:rsid w:val="00197A42"/>
    <w:rsid w:val="001A0029"/>
    <w:rsid w:val="001A050D"/>
    <w:rsid w:val="001A06AE"/>
    <w:rsid w:val="001A200B"/>
    <w:rsid w:val="001A2D69"/>
    <w:rsid w:val="001A2EEC"/>
    <w:rsid w:val="001A381E"/>
    <w:rsid w:val="001A3C54"/>
    <w:rsid w:val="001A4BB0"/>
    <w:rsid w:val="001A4D18"/>
    <w:rsid w:val="001A57B0"/>
    <w:rsid w:val="001A685C"/>
    <w:rsid w:val="001A69E4"/>
    <w:rsid w:val="001B0141"/>
    <w:rsid w:val="001B091A"/>
    <w:rsid w:val="001B118A"/>
    <w:rsid w:val="001B2E1C"/>
    <w:rsid w:val="001B422C"/>
    <w:rsid w:val="001B55B6"/>
    <w:rsid w:val="001B56D4"/>
    <w:rsid w:val="001B5BAD"/>
    <w:rsid w:val="001B6332"/>
    <w:rsid w:val="001B775C"/>
    <w:rsid w:val="001C0820"/>
    <w:rsid w:val="001C0A4D"/>
    <w:rsid w:val="001C10D2"/>
    <w:rsid w:val="001C1A60"/>
    <w:rsid w:val="001C1AD6"/>
    <w:rsid w:val="001C1B2F"/>
    <w:rsid w:val="001C21FE"/>
    <w:rsid w:val="001C3318"/>
    <w:rsid w:val="001C451E"/>
    <w:rsid w:val="001C457D"/>
    <w:rsid w:val="001C45FB"/>
    <w:rsid w:val="001C5C38"/>
    <w:rsid w:val="001C7B7F"/>
    <w:rsid w:val="001C7D6A"/>
    <w:rsid w:val="001D05EC"/>
    <w:rsid w:val="001D0731"/>
    <w:rsid w:val="001D2126"/>
    <w:rsid w:val="001D2C50"/>
    <w:rsid w:val="001D33C4"/>
    <w:rsid w:val="001D3672"/>
    <w:rsid w:val="001D4525"/>
    <w:rsid w:val="001E0422"/>
    <w:rsid w:val="001E1324"/>
    <w:rsid w:val="001E14CF"/>
    <w:rsid w:val="001E1BBD"/>
    <w:rsid w:val="001E2199"/>
    <w:rsid w:val="001E24BD"/>
    <w:rsid w:val="001E267E"/>
    <w:rsid w:val="001E26D3"/>
    <w:rsid w:val="001E44AD"/>
    <w:rsid w:val="001E65D8"/>
    <w:rsid w:val="001E6777"/>
    <w:rsid w:val="001E690F"/>
    <w:rsid w:val="001E6ED2"/>
    <w:rsid w:val="001E77E4"/>
    <w:rsid w:val="001E7B0F"/>
    <w:rsid w:val="001F005F"/>
    <w:rsid w:val="001F03A0"/>
    <w:rsid w:val="001F07A6"/>
    <w:rsid w:val="001F0C0A"/>
    <w:rsid w:val="001F0DDE"/>
    <w:rsid w:val="001F1018"/>
    <w:rsid w:val="001F1A70"/>
    <w:rsid w:val="001F371D"/>
    <w:rsid w:val="001F3F69"/>
    <w:rsid w:val="001F46FE"/>
    <w:rsid w:val="001F4A1B"/>
    <w:rsid w:val="001F4F19"/>
    <w:rsid w:val="001F5D95"/>
    <w:rsid w:val="001F700F"/>
    <w:rsid w:val="001F7728"/>
    <w:rsid w:val="001F7D85"/>
    <w:rsid w:val="001F7DAB"/>
    <w:rsid w:val="00202A39"/>
    <w:rsid w:val="0020319A"/>
    <w:rsid w:val="00203378"/>
    <w:rsid w:val="0020539C"/>
    <w:rsid w:val="00205555"/>
    <w:rsid w:val="002068C5"/>
    <w:rsid w:val="00210F59"/>
    <w:rsid w:val="00211A21"/>
    <w:rsid w:val="0021225D"/>
    <w:rsid w:val="00213B5B"/>
    <w:rsid w:val="00214A34"/>
    <w:rsid w:val="00215F41"/>
    <w:rsid w:val="00216DDD"/>
    <w:rsid w:val="0021737D"/>
    <w:rsid w:val="00220A5F"/>
    <w:rsid w:val="002213C0"/>
    <w:rsid w:val="00225AE5"/>
    <w:rsid w:val="00225B55"/>
    <w:rsid w:val="00227193"/>
    <w:rsid w:val="00227C73"/>
    <w:rsid w:val="00230015"/>
    <w:rsid w:val="002326E9"/>
    <w:rsid w:val="00233E5C"/>
    <w:rsid w:val="00234390"/>
    <w:rsid w:val="00236967"/>
    <w:rsid w:val="00237272"/>
    <w:rsid w:val="0024102A"/>
    <w:rsid w:val="0024158D"/>
    <w:rsid w:val="0024283C"/>
    <w:rsid w:val="00244032"/>
    <w:rsid w:val="00244825"/>
    <w:rsid w:val="00245853"/>
    <w:rsid w:val="0024605F"/>
    <w:rsid w:val="00246A27"/>
    <w:rsid w:val="00246E4F"/>
    <w:rsid w:val="002479B4"/>
    <w:rsid w:val="00250C49"/>
    <w:rsid w:val="00251199"/>
    <w:rsid w:val="002523D4"/>
    <w:rsid w:val="002530CB"/>
    <w:rsid w:val="00253957"/>
    <w:rsid w:val="00253B93"/>
    <w:rsid w:val="00253D23"/>
    <w:rsid w:val="0025406B"/>
    <w:rsid w:val="00254714"/>
    <w:rsid w:val="00254A08"/>
    <w:rsid w:val="00254CD4"/>
    <w:rsid w:val="002550C6"/>
    <w:rsid w:val="00255526"/>
    <w:rsid w:val="00256846"/>
    <w:rsid w:val="0026014A"/>
    <w:rsid w:val="00260571"/>
    <w:rsid w:val="00260F8E"/>
    <w:rsid w:val="00261230"/>
    <w:rsid w:val="0026152B"/>
    <w:rsid w:val="00261889"/>
    <w:rsid w:val="00263B33"/>
    <w:rsid w:val="00263D95"/>
    <w:rsid w:val="0026408B"/>
    <w:rsid w:val="00264448"/>
    <w:rsid w:val="00264645"/>
    <w:rsid w:val="0026685D"/>
    <w:rsid w:val="00266CDE"/>
    <w:rsid w:val="00267791"/>
    <w:rsid w:val="00270D76"/>
    <w:rsid w:val="0027104B"/>
    <w:rsid w:val="002719F5"/>
    <w:rsid w:val="00273688"/>
    <w:rsid w:val="00275214"/>
    <w:rsid w:val="002762A2"/>
    <w:rsid w:val="00276863"/>
    <w:rsid w:val="00276CE1"/>
    <w:rsid w:val="00276E29"/>
    <w:rsid w:val="00280AB4"/>
    <w:rsid w:val="00280D4D"/>
    <w:rsid w:val="002815C8"/>
    <w:rsid w:val="002816E6"/>
    <w:rsid w:val="00281EC8"/>
    <w:rsid w:val="002826D8"/>
    <w:rsid w:val="002828C4"/>
    <w:rsid w:val="00282DBC"/>
    <w:rsid w:val="00283C78"/>
    <w:rsid w:val="00284AA5"/>
    <w:rsid w:val="00285D38"/>
    <w:rsid w:val="00287BAA"/>
    <w:rsid w:val="00290AA4"/>
    <w:rsid w:val="002920DB"/>
    <w:rsid w:val="0029377E"/>
    <w:rsid w:val="00293944"/>
    <w:rsid w:val="002944B2"/>
    <w:rsid w:val="00294FE3"/>
    <w:rsid w:val="00296B30"/>
    <w:rsid w:val="00296C79"/>
    <w:rsid w:val="00297416"/>
    <w:rsid w:val="002A0181"/>
    <w:rsid w:val="002A0419"/>
    <w:rsid w:val="002A189E"/>
    <w:rsid w:val="002A1B91"/>
    <w:rsid w:val="002A1CFA"/>
    <w:rsid w:val="002A1D17"/>
    <w:rsid w:val="002A265D"/>
    <w:rsid w:val="002A3993"/>
    <w:rsid w:val="002A3A71"/>
    <w:rsid w:val="002A6CD1"/>
    <w:rsid w:val="002A6DA5"/>
    <w:rsid w:val="002B02AE"/>
    <w:rsid w:val="002B0786"/>
    <w:rsid w:val="002B0D1D"/>
    <w:rsid w:val="002B3079"/>
    <w:rsid w:val="002B434D"/>
    <w:rsid w:val="002B4A6C"/>
    <w:rsid w:val="002B4E74"/>
    <w:rsid w:val="002B5054"/>
    <w:rsid w:val="002B5C42"/>
    <w:rsid w:val="002B5E6D"/>
    <w:rsid w:val="002B5F49"/>
    <w:rsid w:val="002B5F79"/>
    <w:rsid w:val="002B6A8B"/>
    <w:rsid w:val="002B6B56"/>
    <w:rsid w:val="002B6F79"/>
    <w:rsid w:val="002B7561"/>
    <w:rsid w:val="002C0511"/>
    <w:rsid w:val="002C0D4C"/>
    <w:rsid w:val="002C19A3"/>
    <w:rsid w:val="002C278F"/>
    <w:rsid w:val="002C2B50"/>
    <w:rsid w:val="002C4398"/>
    <w:rsid w:val="002C4767"/>
    <w:rsid w:val="002C674C"/>
    <w:rsid w:val="002C6CE9"/>
    <w:rsid w:val="002C6D56"/>
    <w:rsid w:val="002C6E68"/>
    <w:rsid w:val="002C773F"/>
    <w:rsid w:val="002D0631"/>
    <w:rsid w:val="002D1205"/>
    <w:rsid w:val="002D145F"/>
    <w:rsid w:val="002D1526"/>
    <w:rsid w:val="002D18A7"/>
    <w:rsid w:val="002D1CFC"/>
    <w:rsid w:val="002D2514"/>
    <w:rsid w:val="002D286A"/>
    <w:rsid w:val="002D3CD8"/>
    <w:rsid w:val="002D53D6"/>
    <w:rsid w:val="002D5632"/>
    <w:rsid w:val="002D7B58"/>
    <w:rsid w:val="002E069A"/>
    <w:rsid w:val="002E0A11"/>
    <w:rsid w:val="002E12AE"/>
    <w:rsid w:val="002E1F7F"/>
    <w:rsid w:val="002E2BB6"/>
    <w:rsid w:val="002E72A0"/>
    <w:rsid w:val="002E7865"/>
    <w:rsid w:val="002E7ADE"/>
    <w:rsid w:val="002F09DC"/>
    <w:rsid w:val="002F0EE9"/>
    <w:rsid w:val="002F163D"/>
    <w:rsid w:val="002F1EE0"/>
    <w:rsid w:val="002F2B5A"/>
    <w:rsid w:val="002F3E55"/>
    <w:rsid w:val="002F4D19"/>
    <w:rsid w:val="002F6E94"/>
    <w:rsid w:val="002F7183"/>
    <w:rsid w:val="003006DB"/>
    <w:rsid w:val="00301A03"/>
    <w:rsid w:val="00302B63"/>
    <w:rsid w:val="00304077"/>
    <w:rsid w:val="003049D4"/>
    <w:rsid w:val="00305559"/>
    <w:rsid w:val="00305C5A"/>
    <w:rsid w:val="00305DEE"/>
    <w:rsid w:val="00307520"/>
    <w:rsid w:val="003108BE"/>
    <w:rsid w:val="00310F16"/>
    <w:rsid w:val="003149D3"/>
    <w:rsid w:val="00314B56"/>
    <w:rsid w:val="003150AB"/>
    <w:rsid w:val="00315244"/>
    <w:rsid w:val="00315788"/>
    <w:rsid w:val="003157F3"/>
    <w:rsid w:val="00316192"/>
    <w:rsid w:val="00316DA5"/>
    <w:rsid w:val="0032082E"/>
    <w:rsid w:val="003209ED"/>
    <w:rsid w:val="0032123C"/>
    <w:rsid w:val="00321506"/>
    <w:rsid w:val="00322F0E"/>
    <w:rsid w:val="003236A8"/>
    <w:rsid w:val="003239A0"/>
    <w:rsid w:val="003249C1"/>
    <w:rsid w:val="00324EF2"/>
    <w:rsid w:val="0032537E"/>
    <w:rsid w:val="003253FD"/>
    <w:rsid w:val="00326C93"/>
    <w:rsid w:val="00330593"/>
    <w:rsid w:val="003305D2"/>
    <w:rsid w:val="0033101B"/>
    <w:rsid w:val="003312B1"/>
    <w:rsid w:val="0033169F"/>
    <w:rsid w:val="0033246D"/>
    <w:rsid w:val="0033298F"/>
    <w:rsid w:val="00333130"/>
    <w:rsid w:val="00334F49"/>
    <w:rsid w:val="0033505A"/>
    <w:rsid w:val="0033519F"/>
    <w:rsid w:val="003358A7"/>
    <w:rsid w:val="00336FAE"/>
    <w:rsid w:val="00336FC8"/>
    <w:rsid w:val="003376DA"/>
    <w:rsid w:val="00337E68"/>
    <w:rsid w:val="00337EF6"/>
    <w:rsid w:val="0034047A"/>
    <w:rsid w:val="00340803"/>
    <w:rsid w:val="00341484"/>
    <w:rsid w:val="003418EB"/>
    <w:rsid w:val="00342CE4"/>
    <w:rsid w:val="00342F2C"/>
    <w:rsid w:val="00342F3B"/>
    <w:rsid w:val="003458C7"/>
    <w:rsid w:val="00346C99"/>
    <w:rsid w:val="00346DCD"/>
    <w:rsid w:val="00346EF8"/>
    <w:rsid w:val="00346F66"/>
    <w:rsid w:val="00347AF3"/>
    <w:rsid w:val="00347CA8"/>
    <w:rsid w:val="00350139"/>
    <w:rsid w:val="003502C1"/>
    <w:rsid w:val="003506B3"/>
    <w:rsid w:val="003510B6"/>
    <w:rsid w:val="003517AB"/>
    <w:rsid w:val="00351AB9"/>
    <w:rsid w:val="0035279F"/>
    <w:rsid w:val="003545BB"/>
    <w:rsid w:val="00355B8E"/>
    <w:rsid w:val="00356D9D"/>
    <w:rsid w:val="00356FC3"/>
    <w:rsid w:val="003605F7"/>
    <w:rsid w:val="003606D7"/>
    <w:rsid w:val="00360D82"/>
    <w:rsid w:val="003626C6"/>
    <w:rsid w:val="00362F19"/>
    <w:rsid w:val="003630E4"/>
    <w:rsid w:val="00364053"/>
    <w:rsid w:val="003641DA"/>
    <w:rsid w:val="00364B76"/>
    <w:rsid w:val="00367746"/>
    <w:rsid w:val="003703A8"/>
    <w:rsid w:val="0037063F"/>
    <w:rsid w:val="0037152C"/>
    <w:rsid w:val="00372B5F"/>
    <w:rsid w:val="0037378C"/>
    <w:rsid w:val="00373E7C"/>
    <w:rsid w:val="00374A74"/>
    <w:rsid w:val="00375226"/>
    <w:rsid w:val="00375716"/>
    <w:rsid w:val="00375E20"/>
    <w:rsid w:val="0037748B"/>
    <w:rsid w:val="00377FA3"/>
    <w:rsid w:val="003806AF"/>
    <w:rsid w:val="003810A6"/>
    <w:rsid w:val="003813D3"/>
    <w:rsid w:val="00381BF8"/>
    <w:rsid w:val="003824A6"/>
    <w:rsid w:val="003831FB"/>
    <w:rsid w:val="003838C4"/>
    <w:rsid w:val="00384954"/>
    <w:rsid w:val="003854BF"/>
    <w:rsid w:val="00385A81"/>
    <w:rsid w:val="00386B27"/>
    <w:rsid w:val="00386D2C"/>
    <w:rsid w:val="00390E58"/>
    <w:rsid w:val="00393B94"/>
    <w:rsid w:val="003943B3"/>
    <w:rsid w:val="0039483D"/>
    <w:rsid w:val="00394EFB"/>
    <w:rsid w:val="0039574D"/>
    <w:rsid w:val="0039614E"/>
    <w:rsid w:val="00397F6E"/>
    <w:rsid w:val="003A0D56"/>
    <w:rsid w:val="003A1296"/>
    <w:rsid w:val="003A2044"/>
    <w:rsid w:val="003A2642"/>
    <w:rsid w:val="003A2B99"/>
    <w:rsid w:val="003A2E85"/>
    <w:rsid w:val="003A3664"/>
    <w:rsid w:val="003A4CAB"/>
    <w:rsid w:val="003A64F4"/>
    <w:rsid w:val="003A6901"/>
    <w:rsid w:val="003A7604"/>
    <w:rsid w:val="003B005A"/>
    <w:rsid w:val="003B11AE"/>
    <w:rsid w:val="003B1FFA"/>
    <w:rsid w:val="003B3502"/>
    <w:rsid w:val="003B48ED"/>
    <w:rsid w:val="003B4EFC"/>
    <w:rsid w:val="003B50A9"/>
    <w:rsid w:val="003B52CC"/>
    <w:rsid w:val="003B5CEA"/>
    <w:rsid w:val="003B7116"/>
    <w:rsid w:val="003C0730"/>
    <w:rsid w:val="003C0AF8"/>
    <w:rsid w:val="003C1193"/>
    <w:rsid w:val="003C361C"/>
    <w:rsid w:val="003C3C09"/>
    <w:rsid w:val="003C3E88"/>
    <w:rsid w:val="003C5733"/>
    <w:rsid w:val="003C6220"/>
    <w:rsid w:val="003D1D47"/>
    <w:rsid w:val="003D251A"/>
    <w:rsid w:val="003D27F1"/>
    <w:rsid w:val="003D2DA9"/>
    <w:rsid w:val="003D2F54"/>
    <w:rsid w:val="003D2FDF"/>
    <w:rsid w:val="003D3429"/>
    <w:rsid w:val="003D3C62"/>
    <w:rsid w:val="003D3EDA"/>
    <w:rsid w:val="003D3FAD"/>
    <w:rsid w:val="003D4743"/>
    <w:rsid w:val="003D6ED6"/>
    <w:rsid w:val="003D6F98"/>
    <w:rsid w:val="003E1C68"/>
    <w:rsid w:val="003E2116"/>
    <w:rsid w:val="003E33EF"/>
    <w:rsid w:val="003E444F"/>
    <w:rsid w:val="003E6E1A"/>
    <w:rsid w:val="003F1C2D"/>
    <w:rsid w:val="003F3210"/>
    <w:rsid w:val="003F3931"/>
    <w:rsid w:val="003F40DA"/>
    <w:rsid w:val="003F4B53"/>
    <w:rsid w:val="003F532C"/>
    <w:rsid w:val="003F5F86"/>
    <w:rsid w:val="003F6938"/>
    <w:rsid w:val="003F6F5A"/>
    <w:rsid w:val="003F7600"/>
    <w:rsid w:val="00401B67"/>
    <w:rsid w:val="00402C05"/>
    <w:rsid w:val="0040375F"/>
    <w:rsid w:val="00406092"/>
    <w:rsid w:val="00407CA4"/>
    <w:rsid w:val="00410943"/>
    <w:rsid w:val="004114FC"/>
    <w:rsid w:val="00411AD1"/>
    <w:rsid w:val="00413CB3"/>
    <w:rsid w:val="0041483D"/>
    <w:rsid w:val="00414A7E"/>
    <w:rsid w:val="004159B1"/>
    <w:rsid w:val="00416E03"/>
    <w:rsid w:val="0041722B"/>
    <w:rsid w:val="0041797F"/>
    <w:rsid w:val="00420747"/>
    <w:rsid w:val="00421E18"/>
    <w:rsid w:val="00422EB4"/>
    <w:rsid w:val="004234A9"/>
    <w:rsid w:val="00425919"/>
    <w:rsid w:val="00425C53"/>
    <w:rsid w:val="00426790"/>
    <w:rsid w:val="00426C88"/>
    <w:rsid w:val="0042701C"/>
    <w:rsid w:val="0042769F"/>
    <w:rsid w:val="00431795"/>
    <w:rsid w:val="004319D2"/>
    <w:rsid w:val="00431C53"/>
    <w:rsid w:val="0043208A"/>
    <w:rsid w:val="004322D9"/>
    <w:rsid w:val="0043414B"/>
    <w:rsid w:val="00435128"/>
    <w:rsid w:val="00436AD7"/>
    <w:rsid w:val="004400B1"/>
    <w:rsid w:val="00440246"/>
    <w:rsid w:val="00440A05"/>
    <w:rsid w:val="00441CDE"/>
    <w:rsid w:val="00441EAC"/>
    <w:rsid w:val="00442C2A"/>
    <w:rsid w:val="00442CBF"/>
    <w:rsid w:val="0044341F"/>
    <w:rsid w:val="00443986"/>
    <w:rsid w:val="00444971"/>
    <w:rsid w:val="00444E13"/>
    <w:rsid w:val="004452A6"/>
    <w:rsid w:val="00445B20"/>
    <w:rsid w:val="004508A8"/>
    <w:rsid w:val="004508D2"/>
    <w:rsid w:val="00452C7E"/>
    <w:rsid w:val="004532B2"/>
    <w:rsid w:val="00453379"/>
    <w:rsid w:val="00453AE1"/>
    <w:rsid w:val="00453FAA"/>
    <w:rsid w:val="00453FBD"/>
    <w:rsid w:val="00454080"/>
    <w:rsid w:val="00454223"/>
    <w:rsid w:val="004546BE"/>
    <w:rsid w:val="004549BD"/>
    <w:rsid w:val="00454AA5"/>
    <w:rsid w:val="00455652"/>
    <w:rsid w:val="00455A56"/>
    <w:rsid w:val="00455F5A"/>
    <w:rsid w:val="004564AD"/>
    <w:rsid w:val="00456647"/>
    <w:rsid w:val="00456A55"/>
    <w:rsid w:val="0045732C"/>
    <w:rsid w:val="0046029A"/>
    <w:rsid w:val="004604A0"/>
    <w:rsid w:val="004610C2"/>
    <w:rsid w:val="004610DE"/>
    <w:rsid w:val="00461E74"/>
    <w:rsid w:val="00463064"/>
    <w:rsid w:val="004630C7"/>
    <w:rsid w:val="00466F08"/>
    <w:rsid w:val="0046711C"/>
    <w:rsid w:val="004701E1"/>
    <w:rsid w:val="00470D3E"/>
    <w:rsid w:val="00471613"/>
    <w:rsid w:val="00471E44"/>
    <w:rsid w:val="00473233"/>
    <w:rsid w:val="00473830"/>
    <w:rsid w:val="00473E1C"/>
    <w:rsid w:val="00474075"/>
    <w:rsid w:val="004742AA"/>
    <w:rsid w:val="0047537F"/>
    <w:rsid w:val="00475404"/>
    <w:rsid w:val="00475538"/>
    <w:rsid w:val="00475EF4"/>
    <w:rsid w:val="0047642F"/>
    <w:rsid w:val="0047690D"/>
    <w:rsid w:val="0047745E"/>
    <w:rsid w:val="004774CC"/>
    <w:rsid w:val="00477A35"/>
    <w:rsid w:val="00481497"/>
    <w:rsid w:val="00481757"/>
    <w:rsid w:val="00481F1D"/>
    <w:rsid w:val="00484252"/>
    <w:rsid w:val="004844AD"/>
    <w:rsid w:val="004846E0"/>
    <w:rsid w:val="00485507"/>
    <w:rsid w:val="004862F3"/>
    <w:rsid w:val="00486C5B"/>
    <w:rsid w:val="004879B5"/>
    <w:rsid w:val="004903EB"/>
    <w:rsid w:val="00491164"/>
    <w:rsid w:val="00491838"/>
    <w:rsid w:val="00491FBC"/>
    <w:rsid w:val="00492A6E"/>
    <w:rsid w:val="00493215"/>
    <w:rsid w:val="00493A33"/>
    <w:rsid w:val="00493BA9"/>
    <w:rsid w:val="00493BC3"/>
    <w:rsid w:val="0049685F"/>
    <w:rsid w:val="00496AAA"/>
    <w:rsid w:val="00496B54"/>
    <w:rsid w:val="00496DED"/>
    <w:rsid w:val="004A0227"/>
    <w:rsid w:val="004A0553"/>
    <w:rsid w:val="004A0AD9"/>
    <w:rsid w:val="004A156A"/>
    <w:rsid w:val="004A16A2"/>
    <w:rsid w:val="004A3E2E"/>
    <w:rsid w:val="004A4BEC"/>
    <w:rsid w:val="004A4C03"/>
    <w:rsid w:val="004A4CDB"/>
    <w:rsid w:val="004A6528"/>
    <w:rsid w:val="004A6571"/>
    <w:rsid w:val="004A66AC"/>
    <w:rsid w:val="004A78A8"/>
    <w:rsid w:val="004A7F1B"/>
    <w:rsid w:val="004B06B1"/>
    <w:rsid w:val="004B0924"/>
    <w:rsid w:val="004B0BA2"/>
    <w:rsid w:val="004B2644"/>
    <w:rsid w:val="004B4419"/>
    <w:rsid w:val="004B4CCA"/>
    <w:rsid w:val="004B61AF"/>
    <w:rsid w:val="004B66A9"/>
    <w:rsid w:val="004B690B"/>
    <w:rsid w:val="004B6DDD"/>
    <w:rsid w:val="004B7099"/>
    <w:rsid w:val="004C0854"/>
    <w:rsid w:val="004C1AF2"/>
    <w:rsid w:val="004C396F"/>
    <w:rsid w:val="004C477F"/>
    <w:rsid w:val="004C4E14"/>
    <w:rsid w:val="004C5A16"/>
    <w:rsid w:val="004C638D"/>
    <w:rsid w:val="004C7566"/>
    <w:rsid w:val="004C7C06"/>
    <w:rsid w:val="004D0362"/>
    <w:rsid w:val="004D1669"/>
    <w:rsid w:val="004D1727"/>
    <w:rsid w:val="004D18C9"/>
    <w:rsid w:val="004D1C91"/>
    <w:rsid w:val="004D221F"/>
    <w:rsid w:val="004D2DF3"/>
    <w:rsid w:val="004D3DB9"/>
    <w:rsid w:val="004D3F4B"/>
    <w:rsid w:val="004D64C3"/>
    <w:rsid w:val="004D6FE4"/>
    <w:rsid w:val="004D7ABD"/>
    <w:rsid w:val="004E0B7A"/>
    <w:rsid w:val="004E238E"/>
    <w:rsid w:val="004E2646"/>
    <w:rsid w:val="004E305C"/>
    <w:rsid w:val="004E4298"/>
    <w:rsid w:val="004E4CFF"/>
    <w:rsid w:val="004E6B9A"/>
    <w:rsid w:val="004E79B9"/>
    <w:rsid w:val="004E7C54"/>
    <w:rsid w:val="004E7EC8"/>
    <w:rsid w:val="004E7F07"/>
    <w:rsid w:val="004F003E"/>
    <w:rsid w:val="004F06CC"/>
    <w:rsid w:val="004F0AA1"/>
    <w:rsid w:val="004F0B4E"/>
    <w:rsid w:val="004F100E"/>
    <w:rsid w:val="004F131D"/>
    <w:rsid w:val="004F16DB"/>
    <w:rsid w:val="004F3592"/>
    <w:rsid w:val="004F381F"/>
    <w:rsid w:val="004F3852"/>
    <w:rsid w:val="004F4089"/>
    <w:rsid w:val="004F54CE"/>
    <w:rsid w:val="004F5553"/>
    <w:rsid w:val="004F60CA"/>
    <w:rsid w:val="004F6357"/>
    <w:rsid w:val="004F6724"/>
    <w:rsid w:val="004F6807"/>
    <w:rsid w:val="004F72B9"/>
    <w:rsid w:val="0050069A"/>
    <w:rsid w:val="0050076D"/>
    <w:rsid w:val="00500DC4"/>
    <w:rsid w:val="00501D93"/>
    <w:rsid w:val="00503708"/>
    <w:rsid w:val="00506F3A"/>
    <w:rsid w:val="005075A7"/>
    <w:rsid w:val="005078C2"/>
    <w:rsid w:val="0051013E"/>
    <w:rsid w:val="005103AD"/>
    <w:rsid w:val="0051044A"/>
    <w:rsid w:val="0051064E"/>
    <w:rsid w:val="005113DA"/>
    <w:rsid w:val="005114D0"/>
    <w:rsid w:val="00511684"/>
    <w:rsid w:val="00511800"/>
    <w:rsid w:val="005119BE"/>
    <w:rsid w:val="00512270"/>
    <w:rsid w:val="00512989"/>
    <w:rsid w:val="00512DE0"/>
    <w:rsid w:val="005135DB"/>
    <w:rsid w:val="005138EB"/>
    <w:rsid w:val="0051446F"/>
    <w:rsid w:val="005144A8"/>
    <w:rsid w:val="00514659"/>
    <w:rsid w:val="005146F4"/>
    <w:rsid w:val="005201BE"/>
    <w:rsid w:val="00521254"/>
    <w:rsid w:val="00523834"/>
    <w:rsid w:val="00523DE9"/>
    <w:rsid w:val="0052407B"/>
    <w:rsid w:val="0052413D"/>
    <w:rsid w:val="00524D8E"/>
    <w:rsid w:val="005257AA"/>
    <w:rsid w:val="005264E0"/>
    <w:rsid w:val="005270CB"/>
    <w:rsid w:val="0052749B"/>
    <w:rsid w:val="00527A6B"/>
    <w:rsid w:val="00530905"/>
    <w:rsid w:val="005356CF"/>
    <w:rsid w:val="0053638A"/>
    <w:rsid w:val="005365F3"/>
    <w:rsid w:val="00536B5C"/>
    <w:rsid w:val="00536E9F"/>
    <w:rsid w:val="005375C0"/>
    <w:rsid w:val="00541EE4"/>
    <w:rsid w:val="00542507"/>
    <w:rsid w:val="00542E6A"/>
    <w:rsid w:val="005434D9"/>
    <w:rsid w:val="00543B6A"/>
    <w:rsid w:val="005447F2"/>
    <w:rsid w:val="0054492F"/>
    <w:rsid w:val="005449F5"/>
    <w:rsid w:val="005452A7"/>
    <w:rsid w:val="005463CC"/>
    <w:rsid w:val="005465E3"/>
    <w:rsid w:val="00547D16"/>
    <w:rsid w:val="00547F64"/>
    <w:rsid w:val="005507DA"/>
    <w:rsid w:val="00551468"/>
    <w:rsid w:val="00552007"/>
    <w:rsid w:val="00552E2F"/>
    <w:rsid w:val="005538CE"/>
    <w:rsid w:val="00554251"/>
    <w:rsid w:val="0055466B"/>
    <w:rsid w:val="00554E68"/>
    <w:rsid w:val="00556A9B"/>
    <w:rsid w:val="00557FC4"/>
    <w:rsid w:val="00561846"/>
    <w:rsid w:val="00561AE3"/>
    <w:rsid w:val="00565B20"/>
    <w:rsid w:val="00565CF7"/>
    <w:rsid w:val="00565D3E"/>
    <w:rsid w:val="00567E45"/>
    <w:rsid w:val="00570CFD"/>
    <w:rsid w:val="00571252"/>
    <w:rsid w:val="00571359"/>
    <w:rsid w:val="005725B7"/>
    <w:rsid w:val="00573303"/>
    <w:rsid w:val="005735E0"/>
    <w:rsid w:val="00575FBD"/>
    <w:rsid w:val="00576158"/>
    <w:rsid w:val="00577DB0"/>
    <w:rsid w:val="00577DED"/>
    <w:rsid w:val="0058044E"/>
    <w:rsid w:val="00580CF3"/>
    <w:rsid w:val="00581192"/>
    <w:rsid w:val="00583463"/>
    <w:rsid w:val="005840A1"/>
    <w:rsid w:val="00584C14"/>
    <w:rsid w:val="00584D07"/>
    <w:rsid w:val="00584EF3"/>
    <w:rsid w:val="00584FC9"/>
    <w:rsid w:val="00585440"/>
    <w:rsid w:val="005858CF"/>
    <w:rsid w:val="00587CE9"/>
    <w:rsid w:val="00587E8C"/>
    <w:rsid w:val="0059000D"/>
    <w:rsid w:val="0059012E"/>
    <w:rsid w:val="00590827"/>
    <w:rsid w:val="005917BF"/>
    <w:rsid w:val="00591C96"/>
    <w:rsid w:val="0059205A"/>
    <w:rsid w:val="00592074"/>
    <w:rsid w:val="005922B8"/>
    <w:rsid w:val="00592E39"/>
    <w:rsid w:val="0059367C"/>
    <w:rsid w:val="00593686"/>
    <w:rsid w:val="00593E46"/>
    <w:rsid w:val="0059553C"/>
    <w:rsid w:val="005956C5"/>
    <w:rsid w:val="00595D68"/>
    <w:rsid w:val="00596832"/>
    <w:rsid w:val="00596951"/>
    <w:rsid w:val="005A09F5"/>
    <w:rsid w:val="005A114F"/>
    <w:rsid w:val="005A2012"/>
    <w:rsid w:val="005A2556"/>
    <w:rsid w:val="005A2A35"/>
    <w:rsid w:val="005A2EEF"/>
    <w:rsid w:val="005A3510"/>
    <w:rsid w:val="005A3875"/>
    <w:rsid w:val="005A4C1F"/>
    <w:rsid w:val="005A4D92"/>
    <w:rsid w:val="005A4E14"/>
    <w:rsid w:val="005A5F46"/>
    <w:rsid w:val="005A644F"/>
    <w:rsid w:val="005A664C"/>
    <w:rsid w:val="005A6E16"/>
    <w:rsid w:val="005A7304"/>
    <w:rsid w:val="005A774D"/>
    <w:rsid w:val="005B0435"/>
    <w:rsid w:val="005B135B"/>
    <w:rsid w:val="005B14A4"/>
    <w:rsid w:val="005B2D97"/>
    <w:rsid w:val="005B343F"/>
    <w:rsid w:val="005B38E3"/>
    <w:rsid w:val="005B40EF"/>
    <w:rsid w:val="005B4A25"/>
    <w:rsid w:val="005B52A4"/>
    <w:rsid w:val="005B5A86"/>
    <w:rsid w:val="005B712D"/>
    <w:rsid w:val="005B7BA0"/>
    <w:rsid w:val="005C062E"/>
    <w:rsid w:val="005C0BEB"/>
    <w:rsid w:val="005C1FF8"/>
    <w:rsid w:val="005C2509"/>
    <w:rsid w:val="005C2B98"/>
    <w:rsid w:val="005C4205"/>
    <w:rsid w:val="005C49DE"/>
    <w:rsid w:val="005C5964"/>
    <w:rsid w:val="005C7D0B"/>
    <w:rsid w:val="005D0B2E"/>
    <w:rsid w:val="005D1801"/>
    <w:rsid w:val="005D1A4E"/>
    <w:rsid w:val="005D1A6D"/>
    <w:rsid w:val="005D1BA8"/>
    <w:rsid w:val="005D2349"/>
    <w:rsid w:val="005D564B"/>
    <w:rsid w:val="005D5A65"/>
    <w:rsid w:val="005D7860"/>
    <w:rsid w:val="005D7B7D"/>
    <w:rsid w:val="005D7C90"/>
    <w:rsid w:val="005E08EE"/>
    <w:rsid w:val="005E0D0C"/>
    <w:rsid w:val="005E0F88"/>
    <w:rsid w:val="005E148B"/>
    <w:rsid w:val="005E1B41"/>
    <w:rsid w:val="005E1F62"/>
    <w:rsid w:val="005E285A"/>
    <w:rsid w:val="005E2C64"/>
    <w:rsid w:val="005E35AE"/>
    <w:rsid w:val="005E3C11"/>
    <w:rsid w:val="005E3C74"/>
    <w:rsid w:val="005E4836"/>
    <w:rsid w:val="005E4C85"/>
    <w:rsid w:val="005E5518"/>
    <w:rsid w:val="005E75CA"/>
    <w:rsid w:val="005F044A"/>
    <w:rsid w:val="005F071B"/>
    <w:rsid w:val="005F0FF2"/>
    <w:rsid w:val="005F1831"/>
    <w:rsid w:val="005F2008"/>
    <w:rsid w:val="005F3F78"/>
    <w:rsid w:val="005F455A"/>
    <w:rsid w:val="005F6C0A"/>
    <w:rsid w:val="006009AB"/>
    <w:rsid w:val="00601818"/>
    <w:rsid w:val="00601B07"/>
    <w:rsid w:val="00601F76"/>
    <w:rsid w:val="00602C06"/>
    <w:rsid w:val="00604302"/>
    <w:rsid w:val="00604B52"/>
    <w:rsid w:val="00605883"/>
    <w:rsid w:val="00605CA4"/>
    <w:rsid w:val="006063F4"/>
    <w:rsid w:val="006064AD"/>
    <w:rsid w:val="006069B5"/>
    <w:rsid w:val="00606A7C"/>
    <w:rsid w:val="00607CAD"/>
    <w:rsid w:val="00607ECB"/>
    <w:rsid w:val="006111E7"/>
    <w:rsid w:val="00611736"/>
    <w:rsid w:val="006120D5"/>
    <w:rsid w:val="00612497"/>
    <w:rsid w:val="0061302E"/>
    <w:rsid w:val="006144BA"/>
    <w:rsid w:val="0061554C"/>
    <w:rsid w:val="00616123"/>
    <w:rsid w:val="00616DC1"/>
    <w:rsid w:val="00617480"/>
    <w:rsid w:val="0061753A"/>
    <w:rsid w:val="0062046B"/>
    <w:rsid w:val="006205E8"/>
    <w:rsid w:val="00620C0A"/>
    <w:rsid w:val="00621E8D"/>
    <w:rsid w:val="00623005"/>
    <w:rsid w:val="00623062"/>
    <w:rsid w:val="006243B8"/>
    <w:rsid w:val="006258B5"/>
    <w:rsid w:val="006266F7"/>
    <w:rsid w:val="00626FD4"/>
    <w:rsid w:val="00627A66"/>
    <w:rsid w:val="00627E23"/>
    <w:rsid w:val="00630495"/>
    <w:rsid w:val="006312BC"/>
    <w:rsid w:val="006329C3"/>
    <w:rsid w:val="00632C71"/>
    <w:rsid w:val="00633F47"/>
    <w:rsid w:val="006340D4"/>
    <w:rsid w:val="006351E7"/>
    <w:rsid w:val="006352DB"/>
    <w:rsid w:val="00637673"/>
    <w:rsid w:val="00640FFA"/>
    <w:rsid w:val="00641E57"/>
    <w:rsid w:val="006421DB"/>
    <w:rsid w:val="00642B5D"/>
    <w:rsid w:val="00642F6C"/>
    <w:rsid w:val="00643B77"/>
    <w:rsid w:val="00644BA1"/>
    <w:rsid w:val="00644D2D"/>
    <w:rsid w:val="00644E18"/>
    <w:rsid w:val="00645068"/>
    <w:rsid w:val="00645C67"/>
    <w:rsid w:val="00646592"/>
    <w:rsid w:val="00646715"/>
    <w:rsid w:val="0064737E"/>
    <w:rsid w:val="006477B0"/>
    <w:rsid w:val="0065064D"/>
    <w:rsid w:val="00650A94"/>
    <w:rsid w:val="00651619"/>
    <w:rsid w:val="00651A3C"/>
    <w:rsid w:val="006527E1"/>
    <w:rsid w:val="006528E0"/>
    <w:rsid w:val="00652B3C"/>
    <w:rsid w:val="00653986"/>
    <w:rsid w:val="0065452A"/>
    <w:rsid w:val="006554D9"/>
    <w:rsid w:val="006560A5"/>
    <w:rsid w:val="0065621E"/>
    <w:rsid w:val="006569BB"/>
    <w:rsid w:val="00656DF8"/>
    <w:rsid w:val="00657535"/>
    <w:rsid w:val="0065769F"/>
    <w:rsid w:val="00660DB4"/>
    <w:rsid w:val="006611AA"/>
    <w:rsid w:val="0066140F"/>
    <w:rsid w:val="006616FA"/>
    <w:rsid w:val="006624ED"/>
    <w:rsid w:val="00662B99"/>
    <w:rsid w:val="00663070"/>
    <w:rsid w:val="00663FCB"/>
    <w:rsid w:val="00665167"/>
    <w:rsid w:val="00665A1C"/>
    <w:rsid w:val="00665D51"/>
    <w:rsid w:val="00670621"/>
    <w:rsid w:val="00670F07"/>
    <w:rsid w:val="0067172A"/>
    <w:rsid w:val="00672DC1"/>
    <w:rsid w:val="00673AB9"/>
    <w:rsid w:val="00674030"/>
    <w:rsid w:val="006745DC"/>
    <w:rsid w:val="00675DF9"/>
    <w:rsid w:val="0067631C"/>
    <w:rsid w:val="00677F3F"/>
    <w:rsid w:val="00680932"/>
    <w:rsid w:val="00680C52"/>
    <w:rsid w:val="00681B83"/>
    <w:rsid w:val="00682108"/>
    <w:rsid w:val="006838F4"/>
    <w:rsid w:val="00683D71"/>
    <w:rsid w:val="006863BF"/>
    <w:rsid w:val="00686F57"/>
    <w:rsid w:val="006875B1"/>
    <w:rsid w:val="00690AE5"/>
    <w:rsid w:val="00691C11"/>
    <w:rsid w:val="00692000"/>
    <w:rsid w:val="006933D6"/>
    <w:rsid w:val="00693E56"/>
    <w:rsid w:val="00694AE7"/>
    <w:rsid w:val="00695344"/>
    <w:rsid w:val="00696962"/>
    <w:rsid w:val="00697048"/>
    <w:rsid w:val="0069711D"/>
    <w:rsid w:val="00697EE5"/>
    <w:rsid w:val="006A0292"/>
    <w:rsid w:val="006A226A"/>
    <w:rsid w:val="006A234A"/>
    <w:rsid w:val="006A2DAD"/>
    <w:rsid w:val="006A2E73"/>
    <w:rsid w:val="006A3CE9"/>
    <w:rsid w:val="006A4799"/>
    <w:rsid w:val="006A4C3C"/>
    <w:rsid w:val="006A5EBC"/>
    <w:rsid w:val="006A6113"/>
    <w:rsid w:val="006A63B1"/>
    <w:rsid w:val="006A67FF"/>
    <w:rsid w:val="006B094E"/>
    <w:rsid w:val="006B1230"/>
    <w:rsid w:val="006B269E"/>
    <w:rsid w:val="006B3E32"/>
    <w:rsid w:val="006B48B5"/>
    <w:rsid w:val="006B53A2"/>
    <w:rsid w:val="006B5546"/>
    <w:rsid w:val="006B5940"/>
    <w:rsid w:val="006B5AB4"/>
    <w:rsid w:val="006B681A"/>
    <w:rsid w:val="006B76C8"/>
    <w:rsid w:val="006B79C7"/>
    <w:rsid w:val="006C0AF3"/>
    <w:rsid w:val="006C21F7"/>
    <w:rsid w:val="006C25EB"/>
    <w:rsid w:val="006C2855"/>
    <w:rsid w:val="006C2A60"/>
    <w:rsid w:val="006C33D8"/>
    <w:rsid w:val="006C37FA"/>
    <w:rsid w:val="006C3BC9"/>
    <w:rsid w:val="006C651D"/>
    <w:rsid w:val="006C66D8"/>
    <w:rsid w:val="006C7372"/>
    <w:rsid w:val="006C7AFD"/>
    <w:rsid w:val="006D23C8"/>
    <w:rsid w:val="006D2762"/>
    <w:rsid w:val="006D30E0"/>
    <w:rsid w:val="006D3492"/>
    <w:rsid w:val="006D36C5"/>
    <w:rsid w:val="006D3824"/>
    <w:rsid w:val="006D39A2"/>
    <w:rsid w:val="006D3C51"/>
    <w:rsid w:val="006D3DFD"/>
    <w:rsid w:val="006D4FA4"/>
    <w:rsid w:val="006D5467"/>
    <w:rsid w:val="006D5A9A"/>
    <w:rsid w:val="006D6346"/>
    <w:rsid w:val="006D7887"/>
    <w:rsid w:val="006E0114"/>
    <w:rsid w:val="006E08AA"/>
    <w:rsid w:val="006E1298"/>
    <w:rsid w:val="006E1EB0"/>
    <w:rsid w:val="006E2E38"/>
    <w:rsid w:val="006E3329"/>
    <w:rsid w:val="006E4E26"/>
    <w:rsid w:val="006E50A3"/>
    <w:rsid w:val="006E6F05"/>
    <w:rsid w:val="006E71B4"/>
    <w:rsid w:val="006E78FB"/>
    <w:rsid w:val="006F2D54"/>
    <w:rsid w:val="006F31E4"/>
    <w:rsid w:val="006F3368"/>
    <w:rsid w:val="006F359B"/>
    <w:rsid w:val="006F3BBB"/>
    <w:rsid w:val="006F416A"/>
    <w:rsid w:val="006F4AE0"/>
    <w:rsid w:val="006F59E9"/>
    <w:rsid w:val="006F6683"/>
    <w:rsid w:val="006F6BE0"/>
    <w:rsid w:val="006F78C6"/>
    <w:rsid w:val="006F7AA0"/>
    <w:rsid w:val="00702738"/>
    <w:rsid w:val="00702E2E"/>
    <w:rsid w:val="007035AF"/>
    <w:rsid w:val="007038CF"/>
    <w:rsid w:val="007038DE"/>
    <w:rsid w:val="0070442D"/>
    <w:rsid w:val="00705741"/>
    <w:rsid w:val="00705DAE"/>
    <w:rsid w:val="00706D92"/>
    <w:rsid w:val="0071069F"/>
    <w:rsid w:val="00711A40"/>
    <w:rsid w:val="00712C39"/>
    <w:rsid w:val="00712D40"/>
    <w:rsid w:val="00712E30"/>
    <w:rsid w:val="00713503"/>
    <w:rsid w:val="00713B18"/>
    <w:rsid w:val="007178C4"/>
    <w:rsid w:val="00717D11"/>
    <w:rsid w:val="007210F3"/>
    <w:rsid w:val="00721327"/>
    <w:rsid w:val="007216AC"/>
    <w:rsid w:val="00721930"/>
    <w:rsid w:val="00721B8A"/>
    <w:rsid w:val="00722636"/>
    <w:rsid w:val="00722C73"/>
    <w:rsid w:val="0072370D"/>
    <w:rsid w:val="00724BE5"/>
    <w:rsid w:val="00725312"/>
    <w:rsid w:val="0072531D"/>
    <w:rsid w:val="00725949"/>
    <w:rsid w:val="007261BA"/>
    <w:rsid w:val="007263A7"/>
    <w:rsid w:val="00726C93"/>
    <w:rsid w:val="00726D63"/>
    <w:rsid w:val="00726F9C"/>
    <w:rsid w:val="00730779"/>
    <w:rsid w:val="00731878"/>
    <w:rsid w:val="00731C23"/>
    <w:rsid w:val="00731E1D"/>
    <w:rsid w:val="0073441F"/>
    <w:rsid w:val="007345B3"/>
    <w:rsid w:val="00734740"/>
    <w:rsid w:val="00734AC0"/>
    <w:rsid w:val="00735858"/>
    <w:rsid w:val="00737755"/>
    <w:rsid w:val="007400C5"/>
    <w:rsid w:val="00740413"/>
    <w:rsid w:val="00741C0A"/>
    <w:rsid w:val="00744A3B"/>
    <w:rsid w:val="00744C66"/>
    <w:rsid w:val="007452BB"/>
    <w:rsid w:val="007458C1"/>
    <w:rsid w:val="00745AEB"/>
    <w:rsid w:val="007473B3"/>
    <w:rsid w:val="00747C55"/>
    <w:rsid w:val="00752214"/>
    <w:rsid w:val="00753433"/>
    <w:rsid w:val="00753570"/>
    <w:rsid w:val="00754212"/>
    <w:rsid w:val="00756343"/>
    <w:rsid w:val="00756FD1"/>
    <w:rsid w:val="0075719C"/>
    <w:rsid w:val="007571C1"/>
    <w:rsid w:val="00757AA9"/>
    <w:rsid w:val="00760139"/>
    <w:rsid w:val="007606E2"/>
    <w:rsid w:val="007623A4"/>
    <w:rsid w:val="0076317E"/>
    <w:rsid w:val="00763543"/>
    <w:rsid w:val="0076542F"/>
    <w:rsid w:val="00765AC5"/>
    <w:rsid w:val="00766060"/>
    <w:rsid w:val="0076672D"/>
    <w:rsid w:val="007668C6"/>
    <w:rsid w:val="00766D7B"/>
    <w:rsid w:val="0076717D"/>
    <w:rsid w:val="00770055"/>
    <w:rsid w:val="00770BA3"/>
    <w:rsid w:val="0077161E"/>
    <w:rsid w:val="00772955"/>
    <w:rsid w:val="00773CF2"/>
    <w:rsid w:val="0077487D"/>
    <w:rsid w:val="00774E9F"/>
    <w:rsid w:val="0077592D"/>
    <w:rsid w:val="00775A0E"/>
    <w:rsid w:val="0077643D"/>
    <w:rsid w:val="00780182"/>
    <w:rsid w:val="0078539A"/>
    <w:rsid w:val="00787B17"/>
    <w:rsid w:val="00787DF6"/>
    <w:rsid w:val="00790B21"/>
    <w:rsid w:val="007913A6"/>
    <w:rsid w:val="007921FC"/>
    <w:rsid w:val="00793A03"/>
    <w:rsid w:val="0079403A"/>
    <w:rsid w:val="00794F7E"/>
    <w:rsid w:val="00795009"/>
    <w:rsid w:val="007968E9"/>
    <w:rsid w:val="00796B62"/>
    <w:rsid w:val="00796F5B"/>
    <w:rsid w:val="007A04E7"/>
    <w:rsid w:val="007A1EF8"/>
    <w:rsid w:val="007A2256"/>
    <w:rsid w:val="007A2DDD"/>
    <w:rsid w:val="007A34CC"/>
    <w:rsid w:val="007A4BD9"/>
    <w:rsid w:val="007A5DD6"/>
    <w:rsid w:val="007A635E"/>
    <w:rsid w:val="007B1195"/>
    <w:rsid w:val="007B3560"/>
    <w:rsid w:val="007B371C"/>
    <w:rsid w:val="007B3C96"/>
    <w:rsid w:val="007B5897"/>
    <w:rsid w:val="007B59D4"/>
    <w:rsid w:val="007B73B5"/>
    <w:rsid w:val="007C0081"/>
    <w:rsid w:val="007C0F17"/>
    <w:rsid w:val="007C1D24"/>
    <w:rsid w:val="007C3064"/>
    <w:rsid w:val="007C31C7"/>
    <w:rsid w:val="007C357C"/>
    <w:rsid w:val="007C41AF"/>
    <w:rsid w:val="007C44C0"/>
    <w:rsid w:val="007C50A4"/>
    <w:rsid w:val="007C52AE"/>
    <w:rsid w:val="007C6365"/>
    <w:rsid w:val="007C666F"/>
    <w:rsid w:val="007D0333"/>
    <w:rsid w:val="007D03EF"/>
    <w:rsid w:val="007D0E91"/>
    <w:rsid w:val="007D2D13"/>
    <w:rsid w:val="007D2E2D"/>
    <w:rsid w:val="007D3ACB"/>
    <w:rsid w:val="007D49D6"/>
    <w:rsid w:val="007D4BFA"/>
    <w:rsid w:val="007D523B"/>
    <w:rsid w:val="007D5573"/>
    <w:rsid w:val="007D61E6"/>
    <w:rsid w:val="007D64DB"/>
    <w:rsid w:val="007D6FBE"/>
    <w:rsid w:val="007D7BC0"/>
    <w:rsid w:val="007E09C5"/>
    <w:rsid w:val="007E12F9"/>
    <w:rsid w:val="007E1D53"/>
    <w:rsid w:val="007E351B"/>
    <w:rsid w:val="007E5610"/>
    <w:rsid w:val="007E6123"/>
    <w:rsid w:val="007E6718"/>
    <w:rsid w:val="007E672F"/>
    <w:rsid w:val="007E6B64"/>
    <w:rsid w:val="007E777E"/>
    <w:rsid w:val="007F02CC"/>
    <w:rsid w:val="007F04AF"/>
    <w:rsid w:val="007F1739"/>
    <w:rsid w:val="007F1E36"/>
    <w:rsid w:val="007F2AF0"/>
    <w:rsid w:val="007F2F28"/>
    <w:rsid w:val="007F445D"/>
    <w:rsid w:val="007F44FF"/>
    <w:rsid w:val="007F4B10"/>
    <w:rsid w:val="007F55CC"/>
    <w:rsid w:val="007F57C2"/>
    <w:rsid w:val="007F630D"/>
    <w:rsid w:val="007F64F5"/>
    <w:rsid w:val="007F7225"/>
    <w:rsid w:val="007F782C"/>
    <w:rsid w:val="007F7FCA"/>
    <w:rsid w:val="00800EB8"/>
    <w:rsid w:val="00800FD8"/>
    <w:rsid w:val="00801800"/>
    <w:rsid w:val="00802732"/>
    <w:rsid w:val="00803252"/>
    <w:rsid w:val="0080369C"/>
    <w:rsid w:val="00803B01"/>
    <w:rsid w:val="008050D9"/>
    <w:rsid w:val="00807684"/>
    <w:rsid w:val="00812919"/>
    <w:rsid w:val="00814A7E"/>
    <w:rsid w:val="00815EB4"/>
    <w:rsid w:val="0081750E"/>
    <w:rsid w:val="00817BB3"/>
    <w:rsid w:val="00817F95"/>
    <w:rsid w:val="0082003F"/>
    <w:rsid w:val="0082071E"/>
    <w:rsid w:val="00821527"/>
    <w:rsid w:val="00822204"/>
    <w:rsid w:val="00822A80"/>
    <w:rsid w:val="00823197"/>
    <w:rsid w:val="0082386A"/>
    <w:rsid w:val="00824CD3"/>
    <w:rsid w:val="00824DDF"/>
    <w:rsid w:val="00824F5F"/>
    <w:rsid w:val="00826B57"/>
    <w:rsid w:val="00826E13"/>
    <w:rsid w:val="00827558"/>
    <w:rsid w:val="008304CB"/>
    <w:rsid w:val="00830B11"/>
    <w:rsid w:val="00830D8B"/>
    <w:rsid w:val="00832124"/>
    <w:rsid w:val="008321A0"/>
    <w:rsid w:val="00833B37"/>
    <w:rsid w:val="008347CC"/>
    <w:rsid w:val="00834A81"/>
    <w:rsid w:val="00835347"/>
    <w:rsid w:val="00837F36"/>
    <w:rsid w:val="00840514"/>
    <w:rsid w:val="008408F9"/>
    <w:rsid w:val="00841160"/>
    <w:rsid w:val="008429DA"/>
    <w:rsid w:val="00842D48"/>
    <w:rsid w:val="00842DA6"/>
    <w:rsid w:val="008436CC"/>
    <w:rsid w:val="00844539"/>
    <w:rsid w:val="00846FAA"/>
    <w:rsid w:val="00847822"/>
    <w:rsid w:val="0084791E"/>
    <w:rsid w:val="00847C8E"/>
    <w:rsid w:val="00850CA0"/>
    <w:rsid w:val="00850F12"/>
    <w:rsid w:val="00852023"/>
    <w:rsid w:val="00852567"/>
    <w:rsid w:val="00852C0E"/>
    <w:rsid w:val="00852D3E"/>
    <w:rsid w:val="00853BA0"/>
    <w:rsid w:val="00854EFD"/>
    <w:rsid w:val="00856F92"/>
    <w:rsid w:val="00857139"/>
    <w:rsid w:val="008571A9"/>
    <w:rsid w:val="00861840"/>
    <w:rsid w:val="00861BB7"/>
    <w:rsid w:val="0086231F"/>
    <w:rsid w:val="00862C99"/>
    <w:rsid w:val="00863337"/>
    <w:rsid w:val="00863A07"/>
    <w:rsid w:val="00863B0C"/>
    <w:rsid w:val="00865034"/>
    <w:rsid w:val="00865759"/>
    <w:rsid w:val="00866413"/>
    <w:rsid w:val="00866DB9"/>
    <w:rsid w:val="008679E4"/>
    <w:rsid w:val="008702EA"/>
    <w:rsid w:val="008704A8"/>
    <w:rsid w:val="0087100E"/>
    <w:rsid w:val="00871C02"/>
    <w:rsid w:val="00872DAA"/>
    <w:rsid w:val="0087335D"/>
    <w:rsid w:val="008734E7"/>
    <w:rsid w:val="00874660"/>
    <w:rsid w:val="00874AF4"/>
    <w:rsid w:val="0087582A"/>
    <w:rsid w:val="00875FFF"/>
    <w:rsid w:val="00876FBE"/>
    <w:rsid w:val="0088002D"/>
    <w:rsid w:val="008811F8"/>
    <w:rsid w:val="00881A89"/>
    <w:rsid w:val="00883B76"/>
    <w:rsid w:val="0088414C"/>
    <w:rsid w:val="0088622D"/>
    <w:rsid w:val="00887F9E"/>
    <w:rsid w:val="0089104A"/>
    <w:rsid w:val="00891263"/>
    <w:rsid w:val="00892A86"/>
    <w:rsid w:val="00892D07"/>
    <w:rsid w:val="00892D5B"/>
    <w:rsid w:val="0089359A"/>
    <w:rsid w:val="00893C10"/>
    <w:rsid w:val="008947BB"/>
    <w:rsid w:val="00895407"/>
    <w:rsid w:val="0089560D"/>
    <w:rsid w:val="0089732D"/>
    <w:rsid w:val="00897378"/>
    <w:rsid w:val="008973F5"/>
    <w:rsid w:val="0089772F"/>
    <w:rsid w:val="008979A8"/>
    <w:rsid w:val="008A0340"/>
    <w:rsid w:val="008A24CE"/>
    <w:rsid w:val="008A2A04"/>
    <w:rsid w:val="008A3BC3"/>
    <w:rsid w:val="008A5E24"/>
    <w:rsid w:val="008A6309"/>
    <w:rsid w:val="008A6814"/>
    <w:rsid w:val="008A77F3"/>
    <w:rsid w:val="008B0BE6"/>
    <w:rsid w:val="008B142B"/>
    <w:rsid w:val="008B157A"/>
    <w:rsid w:val="008B1BF9"/>
    <w:rsid w:val="008B1CFF"/>
    <w:rsid w:val="008B2319"/>
    <w:rsid w:val="008B2672"/>
    <w:rsid w:val="008B3622"/>
    <w:rsid w:val="008B4311"/>
    <w:rsid w:val="008B4705"/>
    <w:rsid w:val="008B55A4"/>
    <w:rsid w:val="008B5617"/>
    <w:rsid w:val="008B5EAD"/>
    <w:rsid w:val="008B64E6"/>
    <w:rsid w:val="008C1583"/>
    <w:rsid w:val="008C1D0C"/>
    <w:rsid w:val="008C2EED"/>
    <w:rsid w:val="008C34FE"/>
    <w:rsid w:val="008C688C"/>
    <w:rsid w:val="008C7224"/>
    <w:rsid w:val="008C7D97"/>
    <w:rsid w:val="008D042C"/>
    <w:rsid w:val="008D0C85"/>
    <w:rsid w:val="008D2C58"/>
    <w:rsid w:val="008D2C8A"/>
    <w:rsid w:val="008D4FE1"/>
    <w:rsid w:val="008D68AD"/>
    <w:rsid w:val="008D749D"/>
    <w:rsid w:val="008D7AE5"/>
    <w:rsid w:val="008D7CB4"/>
    <w:rsid w:val="008E059E"/>
    <w:rsid w:val="008E0AF0"/>
    <w:rsid w:val="008E3460"/>
    <w:rsid w:val="008E367C"/>
    <w:rsid w:val="008E3898"/>
    <w:rsid w:val="008E3923"/>
    <w:rsid w:val="008E479F"/>
    <w:rsid w:val="008E5F2C"/>
    <w:rsid w:val="008E6D62"/>
    <w:rsid w:val="008E75BA"/>
    <w:rsid w:val="008E7F91"/>
    <w:rsid w:val="008F0608"/>
    <w:rsid w:val="008F1CE8"/>
    <w:rsid w:val="008F46C0"/>
    <w:rsid w:val="008F51AC"/>
    <w:rsid w:val="008F5287"/>
    <w:rsid w:val="008F57E3"/>
    <w:rsid w:val="008F5F31"/>
    <w:rsid w:val="009000F6"/>
    <w:rsid w:val="009021A5"/>
    <w:rsid w:val="009021B4"/>
    <w:rsid w:val="00902C12"/>
    <w:rsid w:val="009039C2"/>
    <w:rsid w:val="009074B5"/>
    <w:rsid w:val="009074E3"/>
    <w:rsid w:val="00907964"/>
    <w:rsid w:val="00907D34"/>
    <w:rsid w:val="00907DF1"/>
    <w:rsid w:val="00910D2D"/>
    <w:rsid w:val="0091185D"/>
    <w:rsid w:val="00912F0E"/>
    <w:rsid w:val="00913D2A"/>
    <w:rsid w:val="009147D0"/>
    <w:rsid w:val="00914947"/>
    <w:rsid w:val="00914A26"/>
    <w:rsid w:val="00916148"/>
    <w:rsid w:val="00917E19"/>
    <w:rsid w:val="00917F14"/>
    <w:rsid w:val="009218CB"/>
    <w:rsid w:val="0092203C"/>
    <w:rsid w:val="00922C92"/>
    <w:rsid w:val="0092516F"/>
    <w:rsid w:val="009257C7"/>
    <w:rsid w:val="00926275"/>
    <w:rsid w:val="00930272"/>
    <w:rsid w:val="00930346"/>
    <w:rsid w:val="0093059A"/>
    <w:rsid w:val="009309F4"/>
    <w:rsid w:val="00930CD4"/>
    <w:rsid w:val="00931FBD"/>
    <w:rsid w:val="009323B2"/>
    <w:rsid w:val="0093399D"/>
    <w:rsid w:val="00933A71"/>
    <w:rsid w:val="00933D44"/>
    <w:rsid w:val="00934459"/>
    <w:rsid w:val="00935347"/>
    <w:rsid w:val="0093579B"/>
    <w:rsid w:val="0093620B"/>
    <w:rsid w:val="009411B4"/>
    <w:rsid w:val="009417D7"/>
    <w:rsid w:val="00941D85"/>
    <w:rsid w:val="00942980"/>
    <w:rsid w:val="00942DCA"/>
    <w:rsid w:val="00946228"/>
    <w:rsid w:val="00946C58"/>
    <w:rsid w:val="00951AEB"/>
    <w:rsid w:val="00951F1E"/>
    <w:rsid w:val="009522A0"/>
    <w:rsid w:val="009525F6"/>
    <w:rsid w:val="00952B9C"/>
    <w:rsid w:val="0095406E"/>
    <w:rsid w:val="00954202"/>
    <w:rsid w:val="00954216"/>
    <w:rsid w:val="009555FF"/>
    <w:rsid w:val="009573F9"/>
    <w:rsid w:val="00960D6B"/>
    <w:rsid w:val="0096169B"/>
    <w:rsid w:val="009616DD"/>
    <w:rsid w:val="00961906"/>
    <w:rsid w:val="0096190B"/>
    <w:rsid w:val="00961A06"/>
    <w:rsid w:val="00962626"/>
    <w:rsid w:val="009627F3"/>
    <w:rsid w:val="00962D20"/>
    <w:rsid w:val="009636F4"/>
    <w:rsid w:val="00963C63"/>
    <w:rsid w:val="00963F31"/>
    <w:rsid w:val="00965DBF"/>
    <w:rsid w:val="00966272"/>
    <w:rsid w:val="00967417"/>
    <w:rsid w:val="00970F7D"/>
    <w:rsid w:val="009715D5"/>
    <w:rsid w:val="0097236E"/>
    <w:rsid w:val="00972B7B"/>
    <w:rsid w:val="009734B8"/>
    <w:rsid w:val="009737E5"/>
    <w:rsid w:val="0097425E"/>
    <w:rsid w:val="009744C5"/>
    <w:rsid w:val="00975E1E"/>
    <w:rsid w:val="0097621F"/>
    <w:rsid w:val="009774EB"/>
    <w:rsid w:val="00980040"/>
    <w:rsid w:val="0098017B"/>
    <w:rsid w:val="00982FD6"/>
    <w:rsid w:val="009839DE"/>
    <w:rsid w:val="00983A7F"/>
    <w:rsid w:val="00983CD7"/>
    <w:rsid w:val="00983E27"/>
    <w:rsid w:val="00984A6B"/>
    <w:rsid w:val="00986091"/>
    <w:rsid w:val="009868CA"/>
    <w:rsid w:val="0099149D"/>
    <w:rsid w:val="009917F3"/>
    <w:rsid w:val="0099227C"/>
    <w:rsid w:val="00992450"/>
    <w:rsid w:val="00992489"/>
    <w:rsid w:val="00992625"/>
    <w:rsid w:val="009926D4"/>
    <w:rsid w:val="00992FD7"/>
    <w:rsid w:val="0099330E"/>
    <w:rsid w:val="00995710"/>
    <w:rsid w:val="00996559"/>
    <w:rsid w:val="00996C2E"/>
    <w:rsid w:val="00996CA8"/>
    <w:rsid w:val="009973FE"/>
    <w:rsid w:val="009A0FEC"/>
    <w:rsid w:val="009A11F2"/>
    <w:rsid w:val="009A15DE"/>
    <w:rsid w:val="009A2B5F"/>
    <w:rsid w:val="009A3B31"/>
    <w:rsid w:val="009A4727"/>
    <w:rsid w:val="009A5099"/>
    <w:rsid w:val="009A5F9F"/>
    <w:rsid w:val="009A6507"/>
    <w:rsid w:val="009A7513"/>
    <w:rsid w:val="009B4091"/>
    <w:rsid w:val="009B531C"/>
    <w:rsid w:val="009B5B2B"/>
    <w:rsid w:val="009B6EE4"/>
    <w:rsid w:val="009B6FE0"/>
    <w:rsid w:val="009C0E76"/>
    <w:rsid w:val="009C0F29"/>
    <w:rsid w:val="009C1477"/>
    <w:rsid w:val="009C1803"/>
    <w:rsid w:val="009C1BA7"/>
    <w:rsid w:val="009C1D6F"/>
    <w:rsid w:val="009C1EC4"/>
    <w:rsid w:val="009C29DB"/>
    <w:rsid w:val="009C39A3"/>
    <w:rsid w:val="009C4BC7"/>
    <w:rsid w:val="009C5784"/>
    <w:rsid w:val="009C6777"/>
    <w:rsid w:val="009C7E12"/>
    <w:rsid w:val="009D0CBC"/>
    <w:rsid w:val="009D1BFB"/>
    <w:rsid w:val="009D23D4"/>
    <w:rsid w:val="009D23E3"/>
    <w:rsid w:val="009D297E"/>
    <w:rsid w:val="009D38A8"/>
    <w:rsid w:val="009D3A03"/>
    <w:rsid w:val="009D3C57"/>
    <w:rsid w:val="009D6423"/>
    <w:rsid w:val="009D6DDD"/>
    <w:rsid w:val="009D6E16"/>
    <w:rsid w:val="009D78DE"/>
    <w:rsid w:val="009D7AEA"/>
    <w:rsid w:val="009E0A6C"/>
    <w:rsid w:val="009E0CB0"/>
    <w:rsid w:val="009E11DF"/>
    <w:rsid w:val="009E268E"/>
    <w:rsid w:val="009E336D"/>
    <w:rsid w:val="009E36EC"/>
    <w:rsid w:val="009E3AD2"/>
    <w:rsid w:val="009E3BFB"/>
    <w:rsid w:val="009E4881"/>
    <w:rsid w:val="009E50B2"/>
    <w:rsid w:val="009E5125"/>
    <w:rsid w:val="009E55F4"/>
    <w:rsid w:val="009E657B"/>
    <w:rsid w:val="009E7751"/>
    <w:rsid w:val="009F02DA"/>
    <w:rsid w:val="009F0629"/>
    <w:rsid w:val="009F09D8"/>
    <w:rsid w:val="009F1F7B"/>
    <w:rsid w:val="009F28C2"/>
    <w:rsid w:val="009F311E"/>
    <w:rsid w:val="009F35AD"/>
    <w:rsid w:val="009F38B3"/>
    <w:rsid w:val="009F3BD6"/>
    <w:rsid w:val="009F3CCE"/>
    <w:rsid w:val="009F5167"/>
    <w:rsid w:val="009F6B5A"/>
    <w:rsid w:val="00A00038"/>
    <w:rsid w:val="00A00366"/>
    <w:rsid w:val="00A00B34"/>
    <w:rsid w:val="00A01B0F"/>
    <w:rsid w:val="00A02949"/>
    <w:rsid w:val="00A02BED"/>
    <w:rsid w:val="00A02D7D"/>
    <w:rsid w:val="00A04B6B"/>
    <w:rsid w:val="00A05396"/>
    <w:rsid w:val="00A053B1"/>
    <w:rsid w:val="00A057E2"/>
    <w:rsid w:val="00A05BA7"/>
    <w:rsid w:val="00A06095"/>
    <w:rsid w:val="00A06537"/>
    <w:rsid w:val="00A103A1"/>
    <w:rsid w:val="00A107AF"/>
    <w:rsid w:val="00A11169"/>
    <w:rsid w:val="00A11937"/>
    <w:rsid w:val="00A122B6"/>
    <w:rsid w:val="00A128C7"/>
    <w:rsid w:val="00A12C83"/>
    <w:rsid w:val="00A12E9F"/>
    <w:rsid w:val="00A1307E"/>
    <w:rsid w:val="00A13920"/>
    <w:rsid w:val="00A14282"/>
    <w:rsid w:val="00A14EF7"/>
    <w:rsid w:val="00A15284"/>
    <w:rsid w:val="00A15905"/>
    <w:rsid w:val="00A15B71"/>
    <w:rsid w:val="00A179FD"/>
    <w:rsid w:val="00A205EB"/>
    <w:rsid w:val="00A2157E"/>
    <w:rsid w:val="00A21861"/>
    <w:rsid w:val="00A22591"/>
    <w:rsid w:val="00A229A5"/>
    <w:rsid w:val="00A23AA4"/>
    <w:rsid w:val="00A23DE6"/>
    <w:rsid w:val="00A25003"/>
    <w:rsid w:val="00A256DE"/>
    <w:rsid w:val="00A26E1F"/>
    <w:rsid w:val="00A26EC9"/>
    <w:rsid w:val="00A27505"/>
    <w:rsid w:val="00A30445"/>
    <w:rsid w:val="00A30E0A"/>
    <w:rsid w:val="00A31030"/>
    <w:rsid w:val="00A31F82"/>
    <w:rsid w:val="00A32A4B"/>
    <w:rsid w:val="00A331BF"/>
    <w:rsid w:val="00A341C9"/>
    <w:rsid w:val="00A34751"/>
    <w:rsid w:val="00A3638D"/>
    <w:rsid w:val="00A36681"/>
    <w:rsid w:val="00A36827"/>
    <w:rsid w:val="00A3697B"/>
    <w:rsid w:val="00A36BA1"/>
    <w:rsid w:val="00A372D7"/>
    <w:rsid w:val="00A379D4"/>
    <w:rsid w:val="00A37B00"/>
    <w:rsid w:val="00A40352"/>
    <w:rsid w:val="00A40971"/>
    <w:rsid w:val="00A4112D"/>
    <w:rsid w:val="00A4114B"/>
    <w:rsid w:val="00A41B62"/>
    <w:rsid w:val="00A41D94"/>
    <w:rsid w:val="00A43B85"/>
    <w:rsid w:val="00A43E66"/>
    <w:rsid w:val="00A45684"/>
    <w:rsid w:val="00A456B9"/>
    <w:rsid w:val="00A47B34"/>
    <w:rsid w:val="00A47FB7"/>
    <w:rsid w:val="00A50E1E"/>
    <w:rsid w:val="00A513A2"/>
    <w:rsid w:val="00A51773"/>
    <w:rsid w:val="00A51B65"/>
    <w:rsid w:val="00A51C94"/>
    <w:rsid w:val="00A529FA"/>
    <w:rsid w:val="00A52A64"/>
    <w:rsid w:val="00A540D1"/>
    <w:rsid w:val="00A5503B"/>
    <w:rsid w:val="00A55452"/>
    <w:rsid w:val="00A5628B"/>
    <w:rsid w:val="00A562F4"/>
    <w:rsid w:val="00A601DC"/>
    <w:rsid w:val="00A603CA"/>
    <w:rsid w:val="00A60A0E"/>
    <w:rsid w:val="00A61F4A"/>
    <w:rsid w:val="00A620F4"/>
    <w:rsid w:val="00A634C0"/>
    <w:rsid w:val="00A63775"/>
    <w:rsid w:val="00A63F5D"/>
    <w:rsid w:val="00A644B4"/>
    <w:rsid w:val="00A64DFF"/>
    <w:rsid w:val="00A64EA6"/>
    <w:rsid w:val="00A64FC8"/>
    <w:rsid w:val="00A650C9"/>
    <w:rsid w:val="00A65431"/>
    <w:rsid w:val="00A66080"/>
    <w:rsid w:val="00A66DCB"/>
    <w:rsid w:val="00A7008C"/>
    <w:rsid w:val="00A70520"/>
    <w:rsid w:val="00A7080A"/>
    <w:rsid w:val="00A70F4A"/>
    <w:rsid w:val="00A71E0F"/>
    <w:rsid w:val="00A71EF0"/>
    <w:rsid w:val="00A72F7D"/>
    <w:rsid w:val="00A7469D"/>
    <w:rsid w:val="00A747BD"/>
    <w:rsid w:val="00A74A0A"/>
    <w:rsid w:val="00A76A13"/>
    <w:rsid w:val="00A76C7C"/>
    <w:rsid w:val="00A77588"/>
    <w:rsid w:val="00A77A97"/>
    <w:rsid w:val="00A77EFB"/>
    <w:rsid w:val="00A77EFC"/>
    <w:rsid w:val="00A82CBB"/>
    <w:rsid w:val="00A82F92"/>
    <w:rsid w:val="00A83D7F"/>
    <w:rsid w:val="00A84D1D"/>
    <w:rsid w:val="00A85A80"/>
    <w:rsid w:val="00A85F03"/>
    <w:rsid w:val="00A86125"/>
    <w:rsid w:val="00A861B0"/>
    <w:rsid w:val="00A8691F"/>
    <w:rsid w:val="00A86EEF"/>
    <w:rsid w:val="00A90253"/>
    <w:rsid w:val="00A9130E"/>
    <w:rsid w:val="00A93209"/>
    <w:rsid w:val="00A9530A"/>
    <w:rsid w:val="00A95A17"/>
    <w:rsid w:val="00A95AE8"/>
    <w:rsid w:val="00A95B9E"/>
    <w:rsid w:val="00A95BCF"/>
    <w:rsid w:val="00A95E29"/>
    <w:rsid w:val="00A973E8"/>
    <w:rsid w:val="00A97513"/>
    <w:rsid w:val="00A97A30"/>
    <w:rsid w:val="00AA05F5"/>
    <w:rsid w:val="00AA0B38"/>
    <w:rsid w:val="00AA15FA"/>
    <w:rsid w:val="00AA298A"/>
    <w:rsid w:val="00AA32FD"/>
    <w:rsid w:val="00AA3654"/>
    <w:rsid w:val="00AA54EC"/>
    <w:rsid w:val="00AA613A"/>
    <w:rsid w:val="00AA65C7"/>
    <w:rsid w:val="00AA6D4D"/>
    <w:rsid w:val="00AA6E7B"/>
    <w:rsid w:val="00AA702A"/>
    <w:rsid w:val="00AA772A"/>
    <w:rsid w:val="00AB03F2"/>
    <w:rsid w:val="00AB0F66"/>
    <w:rsid w:val="00AB1EFB"/>
    <w:rsid w:val="00AB2217"/>
    <w:rsid w:val="00AB327A"/>
    <w:rsid w:val="00AB402A"/>
    <w:rsid w:val="00AB448B"/>
    <w:rsid w:val="00AB4DD1"/>
    <w:rsid w:val="00AB53A8"/>
    <w:rsid w:val="00AB59AE"/>
    <w:rsid w:val="00AB5C03"/>
    <w:rsid w:val="00AB5E76"/>
    <w:rsid w:val="00AB6ABF"/>
    <w:rsid w:val="00AB6D27"/>
    <w:rsid w:val="00AB7BE3"/>
    <w:rsid w:val="00AC0A0E"/>
    <w:rsid w:val="00AC0AEE"/>
    <w:rsid w:val="00AC1650"/>
    <w:rsid w:val="00AC1C7E"/>
    <w:rsid w:val="00AC27E2"/>
    <w:rsid w:val="00AC4D11"/>
    <w:rsid w:val="00AC5993"/>
    <w:rsid w:val="00AC752C"/>
    <w:rsid w:val="00AC7C8C"/>
    <w:rsid w:val="00AC7CEC"/>
    <w:rsid w:val="00AD030F"/>
    <w:rsid w:val="00AD1B0C"/>
    <w:rsid w:val="00AD1E9D"/>
    <w:rsid w:val="00AD342D"/>
    <w:rsid w:val="00AD3664"/>
    <w:rsid w:val="00AD3BAE"/>
    <w:rsid w:val="00AD4662"/>
    <w:rsid w:val="00AD4E4A"/>
    <w:rsid w:val="00AD4FCD"/>
    <w:rsid w:val="00AD753D"/>
    <w:rsid w:val="00AE030D"/>
    <w:rsid w:val="00AE0C41"/>
    <w:rsid w:val="00AE0DF7"/>
    <w:rsid w:val="00AE1321"/>
    <w:rsid w:val="00AE4D49"/>
    <w:rsid w:val="00AE507A"/>
    <w:rsid w:val="00AE596C"/>
    <w:rsid w:val="00AE756C"/>
    <w:rsid w:val="00AE788B"/>
    <w:rsid w:val="00AE7C52"/>
    <w:rsid w:val="00AF054B"/>
    <w:rsid w:val="00AF0E7B"/>
    <w:rsid w:val="00AF1439"/>
    <w:rsid w:val="00AF164F"/>
    <w:rsid w:val="00AF18ED"/>
    <w:rsid w:val="00AF2244"/>
    <w:rsid w:val="00AF25A6"/>
    <w:rsid w:val="00AF298B"/>
    <w:rsid w:val="00AF2B80"/>
    <w:rsid w:val="00AF3008"/>
    <w:rsid w:val="00AF566D"/>
    <w:rsid w:val="00B00EA6"/>
    <w:rsid w:val="00B01341"/>
    <w:rsid w:val="00B02E93"/>
    <w:rsid w:val="00B030F1"/>
    <w:rsid w:val="00B03AA8"/>
    <w:rsid w:val="00B0475F"/>
    <w:rsid w:val="00B049D3"/>
    <w:rsid w:val="00B05C40"/>
    <w:rsid w:val="00B05D9B"/>
    <w:rsid w:val="00B06651"/>
    <w:rsid w:val="00B06DF9"/>
    <w:rsid w:val="00B06DFA"/>
    <w:rsid w:val="00B0778B"/>
    <w:rsid w:val="00B102D3"/>
    <w:rsid w:val="00B11C28"/>
    <w:rsid w:val="00B12043"/>
    <w:rsid w:val="00B1305F"/>
    <w:rsid w:val="00B13C56"/>
    <w:rsid w:val="00B13C5D"/>
    <w:rsid w:val="00B141DF"/>
    <w:rsid w:val="00B14745"/>
    <w:rsid w:val="00B15768"/>
    <w:rsid w:val="00B1599C"/>
    <w:rsid w:val="00B16452"/>
    <w:rsid w:val="00B16B78"/>
    <w:rsid w:val="00B17759"/>
    <w:rsid w:val="00B20057"/>
    <w:rsid w:val="00B2060E"/>
    <w:rsid w:val="00B2146F"/>
    <w:rsid w:val="00B21517"/>
    <w:rsid w:val="00B21540"/>
    <w:rsid w:val="00B21D17"/>
    <w:rsid w:val="00B2223D"/>
    <w:rsid w:val="00B22B0D"/>
    <w:rsid w:val="00B241D7"/>
    <w:rsid w:val="00B24E47"/>
    <w:rsid w:val="00B26D14"/>
    <w:rsid w:val="00B279DE"/>
    <w:rsid w:val="00B30FCA"/>
    <w:rsid w:val="00B322AA"/>
    <w:rsid w:val="00B337D9"/>
    <w:rsid w:val="00B340A5"/>
    <w:rsid w:val="00B3490E"/>
    <w:rsid w:val="00B34957"/>
    <w:rsid w:val="00B34F25"/>
    <w:rsid w:val="00B35252"/>
    <w:rsid w:val="00B35F04"/>
    <w:rsid w:val="00B36570"/>
    <w:rsid w:val="00B36A9E"/>
    <w:rsid w:val="00B42000"/>
    <w:rsid w:val="00B426D2"/>
    <w:rsid w:val="00B42A35"/>
    <w:rsid w:val="00B42C2A"/>
    <w:rsid w:val="00B43442"/>
    <w:rsid w:val="00B43EE7"/>
    <w:rsid w:val="00B43F8A"/>
    <w:rsid w:val="00B45880"/>
    <w:rsid w:val="00B45DF8"/>
    <w:rsid w:val="00B47040"/>
    <w:rsid w:val="00B4774C"/>
    <w:rsid w:val="00B47D8D"/>
    <w:rsid w:val="00B50710"/>
    <w:rsid w:val="00B51103"/>
    <w:rsid w:val="00B51239"/>
    <w:rsid w:val="00B513CF"/>
    <w:rsid w:val="00B518F5"/>
    <w:rsid w:val="00B51FF6"/>
    <w:rsid w:val="00B556A2"/>
    <w:rsid w:val="00B556FA"/>
    <w:rsid w:val="00B55E39"/>
    <w:rsid w:val="00B55E87"/>
    <w:rsid w:val="00B563FB"/>
    <w:rsid w:val="00B56B0F"/>
    <w:rsid w:val="00B56E26"/>
    <w:rsid w:val="00B57009"/>
    <w:rsid w:val="00B577F9"/>
    <w:rsid w:val="00B608E6"/>
    <w:rsid w:val="00B61443"/>
    <w:rsid w:val="00B63904"/>
    <w:rsid w:val="00B63C97"/>
    <w:rsid w:val="00B6446D"/>
    <w:rsid w:val="00B6509E"/>
    <w:rsid w:val="00B66731"/>
    <w:rsid w:val="00B66775"/>
    <w:rsid w:val="00B6694D"/>
    <w:rsid w:val="00B67250"/>
    <w:rsid w:val="00B676E0"/>
    <w:rsid w:val="00B67985"/>
    <w:rsid w:val="00B70232"/>
    <w:rsid w:val="00B70716"/>
    <w:rsid w:val="00B707AA"/>
    <w:rsid w:val="00B70C3E"/>
    <w:rsid w:val="00B70D2A"/>
    <w:rsid w:val="00B71D7F"/>
    <w:rsid w:val="00B72652"/>
    <w:rsid w:val="00B73055"/>
    <w:rsid w:val="00B73110"/>
    <w:rsid w:val="00B7389C"/>
    <w:rsid w:val="00B7389F"/>
    <w:rsid w:val="00B73C15"/>
    <w:rsid w:val="00B74A1F"/>
    <w:rsid w:val="00B75380"/>
    <w:rsid w:val="00B75552"/>
    <w:rsid w:val="00B77B03"/>
    <w:rsid w:val="00B800FF"/>
    <w:rsid w:val="00B80A2B"/>
    <w:rsid w:val="00B80D06"/>
    <w:rsid w:val="00B81449"/>
    <w:rsid w:val="00B81E2F"/>
    <w:rsid w:val="00B82169"/>
    <w:rsid w:val="00B82CB7"/>
    <w:rsid w:val="00B84161"/>
    <w:rsid w:val="00B84D30"/>
    <w:rsid w:val="00B86662"/>
    <w:rsid w:val="00B86B3D"/>
    <w:rsid w:val="00B8771C"/>
    <w:rsid w:val="00B87B5D"/>
    <w:rsid w:val="00B87DDA"/>
    <w:rsid w:val="00B922B3"/>
    <w:rsid w:val="00B93EAE"/>
    <w:rsid w:val="00B94507"/>
    <w:rsid w:val="00B94FA0"/>
    <w:rsid w:val="00B97712"/>
    <w:rsid w:val="00B97809"/>
    <w:rsid w:val="00BA0658"/>
    <w:rsid w:val="00BA08F6"/>
    <w:rsid w:val="00BA0D9C"/>
    <w:rsid w:val="00BA101A"/>
    <w:rsid w:val="00BA1C9A"/>
    <w:rsid w:val="00BA1F3E"/>
    <w:rsid w:val="00BA205F"/>
    <w:rsid w:val="00BA2B6D"/>
    <w:rsid w:val="00BA2CF3"/>
    <w:rsid w:val="00BA39B5"/>
    <w:rsid w:val="00BA3AB1"/>
    <w:rsid w:val="00BA3DC6"/>
    <w:rsid w:val="00BA480E"/>
    <w:rsid w:val="00BA48F3"/>
    <w:rsid w:val="00BA4937"/>
    <w:rsid w:val="00BA69A2"/>
    <w:rsid w:val="00BA7AF9"/>
    <w:rsid w:val="00BB0EC7"/>
    <w:rsid w:val="00BB1BF5"/>
    <w:rsid w:val="00BB3205"/>
    <w:rsid w:val="00BB3570"/>
    <w:rsid w:val="00BB7B20"/>
    <w:rsid w:val="00BB7C3E"/>
    <w:rsid w:val="00BB7D0E"/>
    <w:rsid w:val="00BC3B3D"/>
    <w:rsid w:val="00BC3E97"/>
    <w:rsid w:val="00BC4B00"/>
    <w:rsid w:val="00BC6C1B"/>
    <w:rsid w:val="00BC740E"/>
    <w:rsid w:val="00BC785E"/>
    <w:rsid w:val="00BD2634"/>
    <w:rsid w:val="00BD2B36"/>
    <w:rsid w:val="00BD2BDA"/>
    <w:rsid w:val="00BD3814"/>
    <w:rsid w:val="00BD42F7"/>
    <w:rsid w:val="00BD544E"/>
    <w:rsid w:val="00BD5C85"/>
    <w:rsid w:val="00BD6426"/>
    <w:rsid w:val="00BD6B8E"/>
    <w:rsid w:val="00BE0681"/>
    <w:rsid w:val="00BE08DD"/>
    <w:rsid w:val="00BE0A76"/>
    <w:rsid w:val="00BE0B0D"/>
    <w:rsid w:val="00BE10C8"/>
    <w:rsid w:val="00BE1769"/>
    <w:rsid w:val="00BE2E40"/>
    <w:rsid w:val="00BE2E87"/>
    <w:rsid w:val="00BE326D"/>
    <w:rsid w:val="00BE34A4"/>
    <w:rsid w:val="00BE41A3"/>
    <w:rsid w:val="00BE5A86"/>
    <w:rsid w:val="00BE6156"/>
    <w:rsid w:val="00BE71ED"/>
    <w:rsid w:val="00BE7D5D"/>
    <w:rsid w:val="00BF03E0"/>
    <w:rsid w:val="00BF1054"/>
    <w:rsid w:val="00BF1AC0"/>
    <w:rsid w:val="00BF36AF"/>
    <w:rsid w:val="00BF5031"/>
    <w:rsid w:val="00BF608F"/>
    <w:rsid w:val="00BF768C"/>
    <w:rsid w:val="00BF7C00"/>
    <w:rsid w:val="00BF7E7E"/>
    <w:rsid w:val="00C0023E"/>
    <w:rsid w:val="00C006FB"/>
    <w:rsid w:val="00C01F44"/>
    <w:rsid w:val="00C02806"/>
    <w:rsid w:val="00C03FD8"/>
    <w:rsid w:val="00C044E4"/>
    <w:rsid w:val="00C05A81"/>
    <w:rsid w:val="00C069D4"/>
    <w:rsid w:val="00C06BF7"/>
    <w:rsid w:val="00C07EE9"/>
    <w:rsid w:val="00C10000"/>
    <w:rsid w:val="00C10EB0"/>
    <w:rsid w:val="00C12056"/>
    <w:rsid w:val="00C12C42"/>
    <w:rsid w:val="00C1391E"/>
    <w:rsid w:val="00C13D96"/>
    <w:rsid w:val="00C15BB4"/>
    <w:rsid w:val="00C161EF"/>
    <w:rsid w:val="00C17A0E"/>
    <w:rsid w:val="00C203CB"/>
    <w:rsid w:val="00C211CC"/>
    <w:rsid w:val="00C218FE"/>
    <w:rsid w:val="00C22823"/>
    <w:rsid w:val="00C22F43"/>
    <w:rsid w:val="00C23A47"/>
    <w:rsid w:val="00C23AC0"/>
    <w:rsid w:val="00C241DB"/>
    <w:rsid w:val="00C24885"/>
    <w:rsid w:val="00C255EC"/>
    <w:rsid w:val="00C259DA"/>
    <w:rsid w:val="00C309A0"/>
    <w:rsid w:val="00C31232"/>
    <w:rsid w:val="00C31CF0"/>
    <w:rsid w:val="00C32CC7"/>
    <w:rsid w:val="00C33087"/>
    <w:rsid w:val="00C3348F"/>
    <w:rsid w:val="00C33491"/>
    <w:rsid w:val="00C3349B"/>
    <w:rsid w:val="00C33CB2"/>
    <w:rsid w:val="00C34E2F"/>
    <w:rsid w:val="00C35488"/>
    <w:rsid w:val="00C35AB4"/>
    <w:rsid w:val="00C36249"/>
    <w:rsid w:val="00C373EB"/>
    <w:rsid w:val="00C3782A"/>
    <w:rsid w:val="00C40B6E"/>
    <w:rsid w:val="00C41DEF"/>
    <w:rsid w:val="00C41ED7"/>
    <w:rsid w:val="00C43CC7"/>
    <w:rsid w:val="00C44368"/>
    <w:rsid w:val="00C44E7D"/>
    <w:rsid w:val="00C451E8"/>
    <w:rsid w:val="00C463E4"/>
    <w:rsid w:val="00C46721"/>
    <w:rsid w:val="00C517FA"/>
    <w:rsid w:val="00C525E1"/>
    <w:rsid w:val="00C52702"/>
    <w:rsid w:val="00C532B4"/>
    <w:rsid w:val="00C53B0A"/>
    <w:rsid w:val="00C53B78"/>
    <w:rsid w:val="00C53BBC"/>
    <w:rsid w:val="00C53C32"/>
    <w:rsid w:val="00C54DC0"/>
    <w:rsid w:val="00C5519C"/>
    <w:rsid w:val="00C55EB3"/>
    <w:rsid w:val="00C5610B"/>
    <w:rsid w:val="00C6083A"/>
    <w:rsid w:val="00C61155"/>
    <w:rsid w:val="00C6136F"/>
    <w:rsid w:val="00C6271D"/>
    <w:rsid w:val="00C62B19"/>
    <w:rsid w:val="00C63218"/>
    <w:rsid w:val="00C635E1"/>
    <w:rsid w:val="00C674DF"/>
    <w:rsid w:val="00C67557"/>
    <w:rsid w:val="00C7131D"/>
    <w:rsid w:val="00C71934"/>
    <w:rsid w:val="00C7235F"/>
    <w:rsid w:val="00C730D9"/>
    <w:rsid w:val="00C7395C"/>
    <w:rsid w:val="00C73C74"/>
    <w:rsid w:val="00C75659"/>
    <w:rsid w:val="00C75EB0"/>
    <w:rsid w:val="00C760D1"/>
    <w:rsid w:val="00C76E76"/>
    <w:rsid w:val="00C805E6"/>
    <w:rsid w:val="00C82371"/>
    <w:rsid w:val="00C830F1"/>
    <w:rsid w:val="00C83B92"/>
    <w:rsid w:val="00C83CD0"/>
    <w:rsid w:val="00C84678"/>
    <w:rsid w:val="00C84DA6"/>
    <w:rsid w:val="00C84E5E"/>
    <w:rsid w:val="00C917E6"/>
    <w:rsid w:val="00C919C9"/>
    <w:rsid w:val="00C92011"/>
    <w:rsid w:val="00C92E5A"/>
    <w:rsid w:val="00C9315C"/>
    <w:rsid w:val="00C94630"/>
    <w:rsid w:val="00C94766"/>
    <w:rsid w:val="00C94A77"/>
    <w:rsid w:val="00C94EDE"/>
    <w:rsid w:val="00C95C15"/>
    <w:rsid w:val="00C95EB3"/>
    <w:rsid w:val="00C9655E"/>
    <w:rsid w:val="00C96768"/>
    <w:rsid w:val="00C96B01"/>
    <w:rsid w:val="00C97CDF"/>
    <w:rsid w:val="00CA04DB"/>
    <w:rsid w:val="00CA17BC"/>
    <w:rsid w:val="00CA237C"/>
    <w:rsid w:val="00CA3FF9"/>
    <w:rsid w:val="00CA4A47"/>
    <w:rsid w:val="00CA4D73"/>
    <w:rsid w:val="00CB0DF7"/>
    <w:rsid w:val="00CB1458"/>
    <w:rsid w:val="00CB1C2D"/>
    <w:rsid w:val="00CB1CB2"/>
    <w:rsid w:val="00CB21F6"/>
    <w:rsid w:val="00CB2464"/>
    <w:rsid w:val="00CB2AA3"/>
    <w:rsid w:val="00CB2E62"/>
    <w:rsid w:val="00CB4E7D"/>
    <w:rsid w:val="00CB620A"/>
    <w:rsid w:val="00CB66CF"/>
    <w:rsid w:val="00CB69C2"/>
    <w:rsid w:val="00CB7B8A"/>
    <w:rsid w:val="00CB7DD7"/>
    <w:rsid w:val="00CC0045"/>
    <w:rsid w:val="00CC0C8C"/>
    <w:rsid w:val="00CC1597"/>
    <w:rsid w:val="00CC1DB6"/>
    <w:rsid w:val="00CC228E"/>
    <w:rsid w:val="00CC2D09"/>
    <w:rsid w:val="00CC3128"/>
    <w:rsid w:val="00CC329A"/>
    <w:rsid w:val="00CC6230"/>
    <w:rsid w:val="00CD0A0B"/>
    <w:rsid w:val="00CD0A41"/>
    <w:rsid w:val="00CD0B88"/>
    <w:rsid w:val="00CD1949"/>
    <w:rsid w:val="00CD1F13"/>
    <w:rsid w:val="00CD2CE7"/>
    <w:rsid w:val="00CD3FA7"/>
    <w:rsid w:val="00CD482D"/>
    <w:rsid w:val="00CD4E2A"/>
    <w:rsid w:val="00CD5695"/>
    <w:rsid w:val="00CD6B9E"/>
    <w:rsid w:val="00CD74EC"/>
    <w:rsid w:val="00CE0336"/>
    <w:rsid w:val="00CE0DCE"/>
    <w:rsid w:val="00CE27CB"/>
    <w:rsid w:val="00CE3270"/>
    <w:rsid w:val="00CE3F24"/>
    <w:rsid w:val="00CE4EC5"/>
    <w:rsid w:val="00CE50B2"/>
    <w:rsid w:val="00CE545A"/>
    <w:rsid w:val="00CE5AA2"/>
    <w:rsid w:val="00CE5E5F"/>
    <w:rsid w:val="00CE6DF6"/>
    <w:rsid w:val="00CE7968"/>
    <w:rsid w:val="00CE7CAA"/>
    <w:rsid w:val="00CF0440"/>
    <w:rsid w:val="00CF045C"/>
    <w:rsid w:val="00CF0615"/>
    <w:rsid w:val="00CF1272"/>
    <w:rsid w:val="00CF19E7"/>
    <w:rsid w:val="00CF23DD"/>
    <w:rsid w:val="00CF2C80"/>
    <w:rsid w:val="00CF3366"/>
    <w:rsid w:val="00CF37D7"/>
    <w:rsid w:val="00CF401F"/>
    <w:rsid w:val="00CF5028"/>
    <w:rsid w:val="00CF7460"/>
    <w:rsid w:val="00D00282"/>
    <w:rsid w:val="00D00405"/>
    <w:rsid w:val="00D0040C"/>
    <w:rsid w:val="00D00639"/>
    <w:rsid w:val="00D00BBF"/>
    <w:rsid w:val="00D011AF"/>
    <w:rsid w:val="00D01DF8"/>
    <w:rsid w:val="00D022A7"/>
    <w:rsid w:val="00D02A10"/>
    <w:rsid w:val="00D02A95"/>
    <w:rsid w:val="00D02D5B"/>
    <w:rsid w:val="00D03776"/>
    <w:rsid w:val="00D0478D"/>
    <w:rsid w:val="00D06318"/>
    <w:rsid w:val="00D07E86"/>
    <w:rsid w:val="00D10BFE"/>
    <w:rsid w:val="00D10F26"/>
    <w:rsid w:val="00D11646"/>
    <w:rsid w:val="00D11A92"/>
    <w:rsid w:val="00D11E94"/>
    <w:rsid w:val="00D12C7E"/>
    <w:rsid w:val="00D144D1"/>
    <w:rsid w:val="00D165C2"/>
    <w:rsid w:val="00D16617"/>
    <w:rsid w:val="00D175FF"/>
    <w:rsid w:val="00D17B40"/>
    <w:rsid w:val="00D17CFF"/>
    <w:rsid w:val="00D17F30"/>
    <w:rsid w:val="00D2013B"/>
    <w:rsid w:val="00D20C5B"/>
    <w:rsid w:val="00D219AF"/>
    <w:rsid w:val="00D226A2"/>
    <w:rsid w:val="00D23592"/>
    <w:rsid w:val="00D2410A"/>
    <w:rsid w:val="00D24258"/>
    <w:rsid w:val="00D2444F"/>
    <w:rsid w:val="00D2448C"/>
    <w:rsid w:val="00D2499D"/>
    <w:rsid w:val="00D24DAA"/>
    <w:rsid w:val="00D252E4"/>
    <w:rsid w:val="00D25791"/>
    <w:rsid w:val="00D25E4C"/>
    <w:rsid w:val="00D261BA"/>
    <w:rsid w:val="00D2638F"/>
    <w:rsid w:val="00D2713D"/>
    <w:rsid w:val="00D31718"/>
    <w:rsid w:val="00D318DE"/>
    <w:rsid w:val="00D32477"/>
    <w:rsid w:val="00D325BC"/>
    <w:rsid w:val="00D343A3"/>
    <w:rsid w:val="00D34518"/>
    <w:rsid w:val="00D355B7"/>
    <w:rsid w:val="00D40495"/>
    <w:rsid w:val="00D40680"/>
    <w:rsid w:val="00D40F29"/>
    <w:rsid w:val="00D40FC6"/>
    <w:rsid w:val="00D41581"/>
    <w:rsid w:val="00D41694"/>
    <w:rsid w:val="00D41BD0"/>
    <w:rsid w:val="00D4254F"/>
    <w:rsid w:val="00D429A6"/>
    <w:rsid w:val="00D42A66"/>
    <w:rsid w:val="00D44F1D"/>
    <w:rsid w:val="00D45553"/>
    <w:rsid w:val="00D45CD2"/>
    <w:rsid w:val="00D51B69"/>
    <w:rsid w:val="00D54325"/>
    <w:rsid w:val="00D548F7"/>
    <w:rsid w:val="00D56D47"/>
    <w:rsid w:val="00D57C13"/>
    <w:rsid w:val="00D57C31"/>
    <w:rsid w:val="00D60808"/>
    <w:rsid w:val="00D60E5B"/>
    <w:rsid w:val="00D60F30"/>
    <w:rsid w:val="00D627BF"/>
    <w:rsid w:val="00D63C61"/>
    <w:rsid w:val="00D64042"/>
    <w:rsid w:val="00D644D8"/>
    <w:rsid w:val="00D64E7C"/>
    <w:rsid w:val="00D650B9"/>
    <w:rsid w:val="00D65812"/>
    <w:rsid w:val="00D658E0"/>
    <w:rsid w:val="00D65E84"/>
    <w:rsid w:val="00D660B0"/>
    <w:rsid w:val="00D679EF"/>
    <w:rsid w:val="00D70C79"/>
    <w:rsid w:val="00D72452"/>
    <w:rsid w:val="00D72589"/>
    <w:rsid w:val="00D7349B"/>
    <w:rsid w:val="00D73523"/>
    <w:rsid w:val="00D74D04"/>
    <w:rsid w:val="00D752C7"/>
    <w:rsid w:val="00D75B94"/>
    <w:rsid w:val="00D7620B"/>
    <w:rsid w:val="00D766E2"/>
    <w:rsid w:val="00D76FEA"/>
    <w:rsid w:val="00D7728A"/>
    <w:rsid w:val="00D7729C"/>
    <w:rsid w:val="00D80F13"/>
    <w:rsid w:val="00D81866"/>
    <w:rsid w:val="00D8238A"/>
    <w:rsid w:val="00D834C0"/>
    <w:rsid w:val="00D83D19"/>
    <w:rsid w:val="00D84816"/>
    <w:rsid w:val="00D849FC"/>
    <w:rsid w:val="00D84A09"/>
    <w:rsid w:val="00D85F06"/>
    <w:rsid w:val="00D85FC9"/>
    <w:rsid w:val="00D86F3D"/>
    <w:rsid w:val="00D90513"/>
    <w:rsid w:val="00D915CF"/>
    <w:rsid w:val="00D91AFF"/>
    <w:rsid w:val="00D9236F"/>
    <w:rsid w:val="00D92D3A"/>
    <w:rsid w:val="00D932F9"/>
    <w:rsid w:val="00D93D3B"/>
    <w:rsid w:val="00D94D71"/>
    <w:rsid w:val="00D9571D"/>
    <w:rsid w:val="00D959D7"/>
    <w:rsid w:val="00D96095"/>
    <w:rsid w:val="00D96CAB"/>
    <w:rsid w:val="00D96F8D"/>
    <w:rsid w:val="00D979C1"/>
    <w:rsid w:val="00DA0C4C"/>
    <w:rsid w:val="00DA267F"/>
    <w:rsid w:val="00DA2EEA"/>
    <w:rsid w:val="00DA381E"/>
    <w:rsid w:val="00DA3985"/>
    <w:rsid w:val="00DA44EE"/>
    <w:rsid w:val="00DA4920"/>
    <w:rsid w:val="00DA4CD4"/>
    <w:rsid w:val="00DA5485"/>
    <w:rsid w:val="00DA5840"/>
    <w:rsid w:val="00DA6829"/>
    <w:rsid w:val="00DA6A34"/>
    <w:rsid w:val="00DA6DF0"/>
    <w:rsid w:val="00DA7B25"/>
    <w:rsid w:val="00DA7B4C"/>
    <w:rsid w:val="00DB22DF"/>
    <w:rsid w:val="00DB355C"/>
    <w:rsid w:val="00DB379E"/>
    <w:rsid w:val="00DB4848"/>
    <w:rsid w:val="00DB4C19"/>
    <w:rsid w:val="00DB5E72"/>
    <w:rsid w:val="00DC07A1"/>
    <w:rsid w:val="00DC0AC5"/>
    <w:rsid w:val="00DC129C"/>
    <w:rsid w:val="00DC34B4"/>
    <w:rsid w:val="00DC3594"/>
    <w:rsid w:val="00DC42D2"/>
    <w:rsid w:val="00DC42DB"/>
    <w:rsid w:val="00DC5F63"/>
    <w:rsid w:val="00DC6DF6"/>
    <w:rsid w:val="00DD08C0"/>
    <w:rsid w:val="00DD10E6"/>
    <w:rsid w:val="00DD1A62"/>
    <w:rsid w:val="00DD1AFE"/>
    <w:rsid w:val="00DD1C19"/>
    <w:rsid w:val="00DD1DF2"/>
    <w:rsid w:val="00DD2ED6"/>
    <w:rsid w:val="00DD32D8"/>
    <w:rsid w:val="00DD4BD1"/>
    <w:rsid w:val="00DD5399"/>
    <w:rsid w:val="00DD5565"/>
    <w:rsid w:val="00DD67F1"/>
    <w:rsid w:val="00DD6ABC"/>
    <w:rsid w:val="00DE1A3B"/>
    <w:rsid w:val="00DE36AB"/>
    <w:rsid w:val="00DE3D7E"/>
    <w:rsid w:val="00DE3E7F"/>
    <w:rsid w:val="00DE50DF"/>
    <w:rsid w:val="00DE65FA"/>
    <w:rsid w:val="00DE7A48"/>
    <w:rsid w:val="00DF0019"/>
    <w:rsid w:val="00DF0587"/>
    <w:rsid w:val="00DF0F2D"/>
    <w:rsid w:val="00DF1D17"/>
    <w:rsid w:val="00DF2E8F"/>
    <w:rsid w:val="00DF3B35"/>
    <w:rsid w:val="00DF3BFC"/>
    <w:rsid w:val="00DF448F"/>
    <w:rsid w:val="00DF44A0"/>
    <w:rsid w:val="00DF565D"/>
    <w:rsid w:val="00DF5BA3"/>
    <w:rsid w:val="00DF68D3"/>
    <w:rsid w:val="00DF6BF9"/>
    <w:rsid w:val="00DF6C58"/>
    <w:rsid w:val="00E007CC"/>
    <w:rsid w:val="00E00F84"/>
    <w:rsid w:val="00E015EF"/>
    <w:rsid w:val="00E01C4E"/>
    <w:rsid w:val="00E01D3D"/>
    <w:rsid w:val="00E02097"/>
    <w:rsid w:val="00E040EE"/>
    <w:rsid w:val="00E04C98"/>
    <w:rsid w:val="00E04D42"/>
    <w:rsid w:val="00E05224"/>
    <w:rsid w:val="00E05E14"/>
    <w:rsid w:val="00E06058"/>
    <w:rsid w:val="00E0662F"/>
    <w:rsid w:val="00E07FFD"/>
    <w:rsid w:val="00E10E42"/>
    <w:rsid w:val="00E1101E"/>
    <w:rsid w:val="00E13081"/>
    <w:rsid w:val="00E16A71"/>
    <w:rsid w:val="00E17A9B"/>
    <w:rsid w:val="00E209D1"/>
    <w:rsid w:val="00E21837"/>
    <w:rsid w:val="00E231CC"/>
    <w:rsid w:val="00E25B80"/>
    <w:rsid w:val="00E25CF6"/>
    <w:rsid w:val="00E25E3C"/>
    <w:rsid w:val="00E25ECB"/>
    <w:rsid w:val="00E26AFD"/>
    <w:rsid w:val="00E26D0D"/>
    <w:rsid w:val="00E3001E"/>
    <w:rsid w:val="00E315EF"/>
    <w:rsid w:val="00E32548"/>
    <w:rsid w:val="00E32554"/>
    <w:rsid w:val="00E329AE"/>
    <w:rsid w:val="00E32AC4"/>
    <w:rsid w:val="00E33635"/>
    <w:rsid w:val="00E33A7F"/>
    <w:rsid w:val="00E343BB"/>
    <w:rsid w:val="00E343F6"/>
    <w:rsid w:val="00E35258"/>
    <w:rsid w:val="00E371CD"/>
    <w:rsid w:val="00E37E34"/>
    <w:rsid w:val="00E4024A"/>
    <w:rsid w:val="00E40725"/>
    <w:rsid w:val="00E40F3E"/>
    <w:rsid w:val="00E41D79"/>
    <w:rsid w:val="00E41EFA"/>
    <w:rsid w:val="00E42788"/>
    <w:rsid w:val="00E42E14"/>
    <w:rsid w:val="00E44477"/>
    <w:rsid w:val="00E44A01"/>
    <w:rsid w:val="00E45556"/>
    <w:rsid w:val="00E456C6"/>
    <w:rsid w:val="00E45C11"/>
    <w:rsid w:val="00E45D28"/>
    <w:rsid w:val="00E51AC5"/>
    <w:rsid w:val="00E51D21"/>
    <w:rsid w:val="00E51EEE"/>
    <w:rsid w:val="00E52097"/>
    <w:rsid w:val="00E530E8"/>
    <w:rsid w:val="00E53ECB"/>
    <w:rsid w:val="00E53F0F"/>
    <w:rsid w:val="00E54247"/>
    <w:rsid w:val="00E54457"/>
    <w:rsid w:val="00E604FE"/>
    <w:rsid w:val="00E619EB"/>
    <w:rsid w:val="00E61A60"/>
    <w:rsid w:val="00E61CBD"/>
    <w:rsid w:val="00E61E12"/>
    <w:rsid w:val="00E61EB8"/>
    <w:rsid w:val="00E632D6"/>
    <w:rsid w:val="00E646CB"/>
    <w:rsid w:val="00E64F71"/>
    <w:rsid w:val="00E65561"/>
    <w:rsid w:val="00E66192"/>
    <w:rsid w:val="00E675BA"/>
    <w:rsid w:val="00E67A48"/>
    <w:rsid w:val="00E7108A"/>
    <w:rsid w:val="00E717B0"/>
    <w:rsid w:val="00E71806"/>
    <w:rsid w:val="00E73826"/>
    <w:rsid w:val="00E73910"/>
    <w:rsid w:val="00E73E15"/>
    <w:rsid w:val="00E743F2"/>
    <w:rsid w:val="00E766E7"/>
    <w:rsid w:val="00E7683E"/>
    <w:rsid w:val="00E76D19"/>
    <w:rsid w:val="00E776C7"/>
    <w:rsid w:val="00E8008E"/>
    <w:rsid w:val="00E80B5D"/>
    <w:rsid w:val="00E80EA0"/>
    <w:rsid w:val="00E8103B"/>
    <w:rsid w:val="00E8298D"/>
    <w:rsid w:val="00E83F10"/>
    <w:rsid w:val="00E84341"/>
    <w:rsid w:val="00E84699"/>
    <w:rsid w:val="00E84774"/>
    <w:rsid w:val="00E84A8C"/>
    <w:rsid w:val="00E84B9A"/>
    <w:rsid w:val="00E8595B"/>
    <w:rsid w:val="00E85B74"/>
    <w:rsid w:val="00E85DA7"/>
    <w:rsid w:val="00E86147"/>
    <w:rsid w:val="00E877DE"/>
    <w:rsid w:val="00E87868"/>
    <w:rsid w:val="00E91065"/>
    <w:rsid w:val="00E9305C"/>
    <w:rsid w:val="00E93AFC"/>
    <w:rsid w:val="00E9468E"/>
    <w:rsid w:val="00E95B9A"/>
    <w:rsid w:val="00E96AB7"/>
    <w:rsid w:val="00E96AF7"/>
    <w:rsid w:val="00E9779D"/>
    <w:rsid w:val="00EA1F72"/>
    <w:rsid w:val="00EA2667"/>
    <w:rsid w:val="00EA2C9E"/>
    <w:rsid w:val="00EA30AD"/>
    <w:rsid w:val="00EA4368"/>
    <w:rsid w:val="00EA5579"/>
    <w:rsid w:val="00EA7260"/>
    <w:rsid w:val="00EB03FA"/>
    <w:rsid w:val="00EB040C"/>
    <w:rsid w:val="00EB08E6"/>
    <w:rsid w:val="00EB1811"/>
    <w:rsid w:val="00EB189F"/>
    <w:rsid w:val="00EB1F3A"/>
    <w:rsid w:val="00EB29AC"/>
    <w:rsid w:val="00EB3259"/>
    <w:rsid w:val="00EB5578"/>
    <w:rsid w:val="00EB5D5F"/>
    <w:rsid w:val="00EB79A3"/>
    <w:rsid w:val="00EB7B68"/>
    <w:rsid w:val="00EC0440"/>
    <w:rsid w:val="00EC0824"/>
    <w:rsid w:val="00EC0F78"/>
    <w:rsid w:val="00EC1803"/>
    <w:rsid w:val="00EC22A2"/>
    <w:rsid w:val="00EC2D04"/>
    <w:rsid w:val="00EC2F10"/>
    <w:rsid w:val="00EC3071"/>
    <w:rsid w:val="00EC3503"/>
    <w:rsid w:val="00EC3552"/>
    <w:rsid w:val="00EC3A9D"/>
    <w:rsid w:val="00EC48DC"/>
    <w:rsid w:val="00EC5166"/>
    <w:rsid w:val="00EC5167"/>
    <w:rsid w:val="00EC54B1"/>
    <w:rsid w:val="00EC6116"/>
    <w:rsid w:val="00EC70C7"/>
    <w:rsid w:val="00ED0685"/>
    <w:rsid w:val="00ED08FE"/>
    <w:rsid w:val="00ED0D0D"/>
    <w:rsid w:val="00ED175C"/>
    <w:rsid w:val="00ED1FAB"/>
    <w:rsid w:val="00ED2318"/>
    <w:rsid w:val="00ED3A83"/>
    <w:rsid w:val="00ED45C2"/>
    <w:rsid w:val="00ED5BB0"/>
    <w:rsid w:val="00ED6CE7"/>
    <w:rsid w:val="00ED7F21"/>
    <w:rsid w:val="00EE0389"/>
    <w:rsid w:val="00EE09A7"/>
    <w:rsid w:val="00EE0ABF"/>
    <w:rsid w:val="00EE1431"/>
    <w:rsid w:val="00EE2EFB"/>
    <w:rsid w:val="00EE3124"/>
    <w:rsid w:val="00EE46F9"/>
    <w:rsid w:val="00EE5519"/>
    <w:rsid w:val="00EE5877"/>
    <w:rsid w:val="00EE7A96"/>
    <w:rsid w:val="00EF02F0"/>
    <w:rsid w:val="00EF06D8"/>
    <w:rsid w:val="00EF077F"/>
    <w:rsid w:val="00EF30C6"/>
    <w:rsid w:val="00EF4A21"/>
    <w:rsid w:val="00EF4BB0"/>
    <w:rsid w:val="00EF546C"/>
    <w:rsid w:val="00EF5F9D"/>
    <w:rsid w:val="00EF6785"/>
    <w:rsid w:val="00EF67C8"/>
    <w:rsid w:val="00EF6C29"/>
    <w:rsid w:val="00EF6F1A"/>
    <w:rsid w:val="00F00CE5"/>
    <w:rsid w:val="00F02CFA"/>
    <w:rsid w:val="00F03335"/>
    <w:rsid w:val="00F03589"/>
    <w:rsid w:val="00F041E8"/>
    <w:rsid w:val="00F04EE6"/>
    <w:rsid w:val="00F05BB1"/>
    <w:rsid w:val="00F063CF"/>
    <w:rsid w:val="00F0785C"/>
    <w:rsid w:val="00F0794D"/>
    <w:rsid w:val="00F1092D"/>
    <w:rsid w:val="00F11FFA"/>
    <w:rsid w:val="00F126E7"/>
    <w:rsid w:val="00F12844"/>
    <w:rsid w:val="00F1364E"/>
    <w:rsid w:val="00F13CAE"/>
    <w:rsid w:val="00F1430B"/>
    <w:rsid w:val="00F154BE"/>
    <w:rsid w:val="00F15575"/>
    <w:rsid w:val="00F156E6"/>
    <w:rsid w:val="00F17D34"/>
    <w:rsid w:val="00F20779"/>
    <w:rsid w:val="00F23774"/>
    <w:rsid w:val="00F23C8F"/>
    <w:rsid w:val="00F26A76"/>
    <w:rsid w:val="00F279D4"/>
    <w:rsid w:val="00F30D61"/>
    <w:rsid w:val="00F3103A"/>
    <w:rsid w:val="00F31EED"/>
    <w:rsid w:val="00F31F44"/>
    <w:rsid w:val="00F3225E"/>
    <w:rsid w:val="00F34873"/>
    <w:rsid w:val="00F35348"/>
    <w:rsid w:val="00F371E8"/>
    <w:rsid w:val="00F371EC"/>
    <w:rsid w:val="00F3771F"/>
    <w:rsid w:val="00F434B1"/>
    <w:rsid w:val="00F44351"/>
    <w:rsid w:val="00F44A76"/>
    <w:rsid w:val="00F44CAE"/>
    <w:rsid w:val="00F44D01"/>
    <w:rsid w:val="00F44F38"/>
    <w:rsid w:val="00F45523"/>
    <w:rsid w:val="00F4556C"/>
    <w:rsid w:val="00F45CA4"/>
    <w:rsid w:val="00F460B4"/>
    <w:rsid w:val="00F46238"/>
    <w:rsid w:val="00F4757F"/>
    <w:rsid w:val="00F47C32"/>
    <w:rsid w:val="00F501EF"/>
    <w:rsid w:val="00F50316"/>
    <w:rsid w:val="00F50343"/>
    <w:rsid w:val="00F50456"/>
    <w:rsid w:val="00F512D1"/>
    <w:rsid w:val="00F51656"/>
    <w:rsid w:val="00F52193"/>
    <w:rsid w:val="00F526B9"/>
    <w:rsid w:val="00F536CD"/>
    <w:rsid w:val="00F53F80"/>
    <w:rsid w:val="00F55768"/>
    <w:rsid w:val="00F55995"/>
    <w:rsid w:val="00F55C15"/>
    <w:rsid w:val="00F56276"/>
    <w:rsid w:val="00F56A4E"/>
    <w:rsid w:val="00F57593"/>
    <w:rsid w:val="00F57AD4"/>
    <w:rsid w:val="00F57AD7"/>
    <w:rsid w:val="00F60E47"/>
    <w:rsid w:val="00F6177C"/>
    <w:rsid w:val="00F61CF2"/>
    <w:rsid w:val="00F620DD"/>
    <w:rsid w:val="00F62579"/>
    <w:rsid w:val="00F625AF"/>
    <w:rsid w:val="00F62A34"/>
    <w:rsid w:val="00F645B7"/>
    <w:rsid w:val="00F65082"/>
    <w:rsid w:val="00F656C3"/>
    <w:rsid w:val="00F65F42"/>
    <w:rsid w:val="00F67037"/>
    <w:rsid w:val="00F678D9"/>
    <w:rsid w:val="00F67964"/>
    <w:rsid w:val="00F67C98"/>
    <w:rsid w:val="00F67F88"/>
    <w:rsid w:val="00F707CC"/>
    <w:rsid w:val="00F714A4"/>
    <w:rsid w:val="00F718C0"/>
    <w:rsid w:val="00F7235D"/>
    <w:rsid w:val="00F72D99"/>
    <w:rsid w:val="00F73263"/>
    <w:rsid w:val="00F739DF"/>
    <w:rsid w:val="00F73CCC"/>
    <w:rsid w:val="00F7404A"/>
    <w:rsid w:val="00F74FAF"/>
    <w:rsid w:val="00F75AD9"/>
    <w:rsid w:val="00F77915"/>
    <w:rsid w:val="00F80F3B"/>
    <w:rsid w:val="00F810E1"/>
    <w:rsid w:val="00F811A8"/>
    <w:rsid w:val="00F82393"/>
    <w:rsid w:val="00F824B2"/>
    <w:rsid w:val="00F82D73"/>
    <w:rsid w:val="00F8304B"/>
    <w:rsid w:val="00F83433"/>
    <w:rsid w:val="00F83962"/>
    <w:rsid w:val="00F83BC6"/>
    <w:rsid w:val="00F85C3F"/>
    <w:rsid w:val="00F862F6"/>
    <w:rsid w:val="00F865B5"/>
    <w:rsid w:val="00F86A7C"/>
    <w:rsid w:val="00F908DB"/>
    <w:rsid w:val="00F91362"/>
    <w:rsid w:val="00F91D04"/>
    <w:rsid w:val="00F91D3C"/>
    <w:rsid w:val="00F921F7"/>
    <w:rsid w:val="00F92B87"/>
    <w:rsid w:val="00F936AE"/>
    <w:rsid w:val="00F93E6A"/>
    <w:rsid w:val="00F93E82"/>
    <w:rsid w:val="00F94024"/>
    <w:rsid w:val="00F94958"/>
    <w:rsid w:val="00F94B78"/>
    <w:rsid w:val="00F978E4"/>
    <w:rsid w:val="00F97979"/>
    <w:rsid w:val="00FA03A8"/>
    <w:rsid w:val="00FA03C3"/>
    <w:rsid w:val="00FA0AF7"/>
    <w:rsid w:val="00FA2AD8"/>
    <w:rsid w:val="00FA3063"/>
    <w:rsid w:val="00FA343D"/>
    <w:rsid w:val="00FA3C36"/>
    <w:rsid w:val="00FA3D61"/>
    <w:rsid w:val="00FA575B"/>
    <w:rsid w:val="00FA6356"/>
    <w:rsid w:val="00FA7058"/>
    <w:rsid w:val="00FA7478"/>
    <w:rsid w:val="00FB0E05"/>
    <w:rsid w:val="00FB1373"/>
    <w:rsid w:val="00FB1634"/>
    <w:rsid w:val="00FB19DF"/>
    <w:rsid w:val="00FB1B4D"/>
    <w:rsid w:val="00FB2022"/>
    <w:rsid w:val="00FB204A"/>
    <w:rsid w:val="00FB2546"/>
    <w:rsid w:val="00FB2E02"/>
    <w:rsid w:val="00FB3171"/>
    <w:rsid w:val="00FB3C0D"/>
    <w:rsid w:val="00FB59B6"/>
    <w:rsid w:val="00FB5BD5"/>
    <w:rsid w:val="00FB5D60"/>
    <w:rsid w:val="00FB5E82"/>
    <w:rsid w:val="00FB61E4"/>
    <w:rsid w:val="00FB70A1"/>
    <w:rsid w:val="00FB7997"/>
    <w:rsid w:val="00FC363B"/>
    <w:rsid w:val="00FC3776"/>
    <w:rsid w:val="00FC3A25"/>
    <w:rsid w:val="00FC3A47"/>
    <w:rsid w:val="00FC4321"/>
    <w:rsid w:val="00FC669E"/>
    <w:rsid w:val="00FC6F77"/>
    <w:rsid w:val="00FC7880"/>
    <w:rsid w:val="00FD0F82"/>
    <w:rsid w:val="00FD1169"/>
    <w:rsid w:val="00FD1C22"/>
    <w:rsid w:val="00FD2463"/>
    <w:rsid w:val="00FD30D3"/>
    <w:rsid w:val="00FD3A19"/>
    <w:rsid w:val="00FD42A4"/>
    <w:rsid w:val="00FD4340"/>
    <w:rsid w:val="00FD493F"/>
    <w:rsid w:val="00FD4B37"/>
    <w:rsid w:val="00FD4D43"/>
    <w:rsid w:val="00FD4E1F"/>
    <w:rsid w:val="00FD5742"/>
    <w:rsid w:val="00FD6D46"/>
    <w:rsid w:val="00FD73B7"/>
    <w:rsid w:val="00FD75CD"/>
    <w:rsid w:val="00FE08AE"/>
    <w:rsid w:val="00FE2B75"/>
    <w:rsid w:val="00FE2D81"/>
    <w:rsid w:val="00FE2DE9"/>
    <w:rsid w:val="00FE366E"/>
    <w:rsid w:val="00FE3928"/>
    <w:rsid w:val="00FE3D4C"/>
    <w:rsid w:val="00FE5C97"/>
    <w:rsid w:val="00FE5F17"/>
    <w:rsid w:val="00FE619F"/>
    <w:rsid w:val="00FE6709"/>
    <w:rsid w:val="00FE6E17"/>
    <w:rsid w:val="00FF0FE3"/>
    <w:rsid w:val="00FF11D6"/>
    <w:rsid w:val="00FF1DB6"/>
    <w:rsid w:val="00FF214A"/>
    <w:rsid w:val="00FF33D5"/>
    <w:rsid w:val="00FF34BF"/>
    <w:rsid w:val="00FF3E28"/>
    <w:rsid w:val="00FF5694"/>
    <w:rsid w:val="00FF7B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10172732"/>
  <w15:docId w15:val="{51C5A6B2-C681-43DF-BD18-150B01E2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52"/>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9"/>
    <w:qFormat/>
    <w:rsid w:val="00FB59B6"/>
    <w:pPr>
      <w:keepNext/>
      <w:numPr>
        <w:numId w:val="1"/>
      </w:numPr>
      <w:jc w:val="both"/>
      <w:outlineLvl w:val="0"/>
    </w:pPr>
    <w:rPr>
      <w:b/>
    </w:rPr>
  </w:style>
  <w:style w:type="paragraph" w:styleId="Balk2">
    <w:name w:val="heading 2"/>
    <w:basedOn w:val="Normal"/>
    <w:next w:val="Normal"/>
    <w:link w:val="Balk2Char"/>
    <w:uiPriority w:val="9"/>
    <w:unhideWhenUsed/>
    <w:qFormat/>
    <w:rsid w:val="00D54325"/>
    <w:pPr>
      <w:keepNext/>
      <w:keepLines/>
      <w:numPr>
        <w:numId w:val="5"/>
      </w:numPr>
      <w:spacing w:before="40"/>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D54325"/>
    <w:pPr>
      <w:keepNext/>
      <w:keepLines/>
      <w:spacing w:before="40"/>
      <w:outlineLvl w:val="2"/>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B59B6"/>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D54325"/>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D54325"/>
    <w:rPr>
      <w:rFonts w:ascii="Times New Roman" w:eastAsiaTheme="majorEastAsia" w:hAnsi="Times New Roman" w:cstheme="majorBidi"/>
      <w:b/>
      <w:color w:val="000000" w:themeColor="text1"/>
      <w:sz w:val="24"/>
      <w:szCs w:val="24"/>
    </w:rPr>
  </w:style>
  <w:style w:type="paragraph" w:styleId="DipnotMetni">
    <w:name w:val="footnote text"/>
    <w:basedOn w:val="Normal"/>
    <w:link w:val="DipnotMetniChar"/>
    <w:uiPriority w:val="99"/>
    <w:unhideWhenUsed/>
    <w:rsid w:val="00FB59B6"/>
    <w:rPr>
      <w:sz w:val="20"/>
      <w:szCs w:val="20"/>
    </w:rPr>
  </w:style>
  <w:style w:type="character" w:customStyle="1" w:styleId="DipnotMetniChar">
    <w:name w:val="Dipnot Metni Char"/>
    <w:basedOn w:val="VarsaylanParagrafYazTipi"/>
    <w:link w:val="DipnotMetni"/>
    <w:uiPriority w:val="99"/>
    <w:rsid w:val="00FB59B6"/>
    <w:rPr>
      <w:rFonts w:ascii="Times New Roman" w:eastAsia="Times New Roman" w:hAnsi="Times New Roman" w:cs="Times New Roman"/>
      <w:sz w:val="20"/>
      <w:szCs w:val="20"/>
    </w:rPr>
  </w:style>
  <w:style w:type="character" w:styleId="DipnotBavurusu">
    <w:name w:val="footnote reference"/>
    <w:uiPriority w:val="99"/>
    <w:unhideWhenUsed/>
    <w:rsid w:val="00FB59B6"/>
    <w:rPr>
      <w:vertAlign w:val="superscript"/>
    </w:rPr>
  </w:style>
  <w:style w:type="paragraph" w:customStyle="1" w:styleId="ListParagraph1">
    <w:name w:val="List Paragraph1"/>
    <w:basedOn w:val="Normal"/>
    <w:rsid w:val="00FB59B6"/>
    <w:pPr>
      <w:spacing w:after="200" w:line="276" w:lineRule="auto"/>
      <w:ind w:left="720"/>
    </w:pPr>
    <w:rPr>
      <w:rFonts w:ascii="Calibri" w:hAnsi="Calibri"/>
      <w:sz w:val="22"/>
      <w:szCs w:val="22"/>
    </w:rPr>
  </w:style>
  <w:style w:type="paragraph" w:styleId="ListeParagraf">
    <w:name w:val="List Paragraph"/>
    <w:basedOn w:val="Normal"/>
    <w:uiPriority w:val="34"/>
    <w:qFormat/>
    <w:rsid w:val="00FB59B6"/>
    <w:pPr>
      <w:ind w:left="708"/>
    </w:pPr>
  </w:style>
  <w:style w:type="paragraph" w:customStyle="1" w:styleId="ListeParagraf1">
    <w:name w:val="Liste Paragraf1"/>
    <w:basedOn w:val="Normal"/>
    <w:rsid w:val="00FB59B6"/>
    <w:pPr>
      <w:spacing w:after="200" w:line="276" w:lineRule="auto"/>
      <w:ind w:left="720"/>
    </w:pPr>
    <w:rPr>
      <w:rFonts w:ascii="Calibri" w:hAnsi="Calibri"/>
      <w:sz w:val="22"/>
      <w:szCs w:val="22"/>
    </w:rPr>
  </w:style>
  <w:style w:type="paragraph" w:styleId="BalonMetni">
    <w:name w:val="Balloon Text"/>
    <w:basedOn w:val="Normal"/>
    <w:link w:val="BalonMetniChar"/>
    <w:uiPriority w:val="99"/>
    <w:semiHidden/>
    <w:unhideWhenUsed/>
    <w:rsid w:val="00AF298B"/>
    <w:rPr>
      <w:rFonts w:ascii="Tahoma" w:hAnsi="Tahoma" w:cs="Tahoma"/>
      <w:sz w:val="16"/>
      <w:szCs w:val="16"/>
    </w:rPr>
  </w:style>
  <w:style w:type="character" w:customStyle="1" w:styleId="BalonMetniChar">
    <w:name w:val="Balon Metni Char"/>
    <w:basedOn w:val="VarsaylanParagrafYazTipi"/>
    <w:link w:val="BalonMetni"/>
    <w:uiPriority w:val="99"/>
    <w:semiHidden/>
    <w:rsid w:val="00AF298B"/>
    <w:rPr>
      <w:rFonts w:ascii="Tahoma" w:eastAsia="Times New Roman" w:hAnsi="Tahoma" w:cs="Tahoma"/>
      <w:sz w:val="16"/>
      <w:szCs w:val="16"/>
    </w:rPr>
  </w:style>
  <w:style w:type="paragraph" w:styleId="GvdeMetni">
    <w:name w:val="Body Text"/>
    <w:basedOn w:val="Normal"/>
    <w:link w:val="GvdeMetniChar"/>
    <w:unhideWhenUsed/>
    <w:rsid w:val="00B030F1"/>
    <w:pPr>
      <w:jc w:val="both"/>
    </w:pPr>
  </w:style>
  <w:style w:type="character" w:customStyle="1" w:styleId="GvdeMetniChar">
    <w:name w:val="Gövde Metni Char"/>
    <w:basedOn w:val="VarsaylanParagrafYazTipi"/>
    <w:link w:val="GvdeMetni"/>
    <w:rsid w:val="00B030F1"/>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0C232B"/>
    <w:rPr>
      <w:sz w:val="16"/>
      <w:szCs w:val="16"/>
    </w:rPr>
  </w:style>
  <w:style w:type="paragraph" w:styleId="AklamaMetni">
    <w:name w:val="annotation text"/>
    <w:basedOn w:val="Normal"/>
    <w:link w:val="AklamaMetniChar"/>
    <w:uiPriority w:val="99"/>
    <w:unhideWhenUsed/>
    <w:rsid w:val="000C232B"/>
    <w:rPr>
      <w:sz w:val="20"/>
      <w:szCs w:val="20"/>
    </w:rPr>
  </w:style>
  <w:style w:type="character" w:customStyle="1" w:styleId="AklamaMetniChar">
    <w:name w:val="Açıklama Metni Char"/>
    <w:basedOn w:val="VarsaylanParagrafYazTipi"/>
    <w:link w:val="AklamaMetni"/>
    <w:uiPriority w:val="99"/>
    <w:rsid w:val="000C232B"/>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C232B"/>
    <w:rPr>
      <w:b/>
      <w:bCs/>
    </w:rPr>
  </w:style>
  <w:style w:type="character" w:customStyle="1" w:styleId="AklamaKonusuChar">
    <w:name w:val="Açıklama Konusu Char"/>
    <w:basedOn w:val="AklamaMetniChar"/>
    <w:link w:val="AklamaKonusu"/>
    <w:uiPriority w:val="99"/>
    <w:semiHidden/>
    <w:rsid w:val="000C232B"/>
    <w:rPr>
      <w:rFonts w:ascii="Times New Roman" w:eastAsia="Times New Roman" w:hAnsi="Times New Roman" w:cs="Times New Roman"/>
      <w:b/>
      <w:bCs/>
      <w:sz w:val="20"/>
      <w:szCs w:val="20"/>
    </w:rPr>
  </w:style>
  <w:style w:type="table" w:customStyle="1" w:styleId="KlavuzTablo3-Vurgu21">
    <w:name w:val="Kılavuz Tablo 3 - Vurgu 21"/>
    <w:basedOn w:val="NormalTablo"/>
    <w:uiPriority w:val="48"/>
    <w:rsid w:val="004968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uTablo4-Vurgu21">
    <w:name w:val="Kılavuzu Tablo 4 - Vurgu 21"/>
    <w:basedOn w:val="NormalTablo"/>
    <w:uiPriority w:val="49"/>
    <w:rsid w:val="004968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Bilgi">
    <w:name w:val="header"/>
    <w:basedOn w:val="Normal"/>
    <w:link w:val="stBilgiChar"/>
    <w:uiPriority w:val="99"/>
    <w:unhideWhenUsed/>
    <w:rsid w:val="009E11DF"/>
    <w:pPr>
      <w:tabs>
        <w:tab w:val="center" w:pos="4536"/>
        <w:tab w:val="right" w:pos="9072"/>
      </w:tabs>
    </w:pPr>
  </w:style>
  <w:style w:type="character" w:customStyle="1" w:styleId="stBilgiChar">
    <w:name w:val="Üst Bilgi Char"/>
    <w:basedOn w:val="VarsaylanParagrafYazTipi"/>
    <w:link w:val="stBilgi"/>
    <w:uiPriority w:val="99"/>
    <w:rsid w:val="009E11DF"/>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9E11DF"/>
    <w:pPr>
      <w:tabs>
        <w:tab w:val="center" w:pos="4536"/>
        <w:tab w:val="right" w:pos="9072"/>
      </w:tabs>
    </w:pPr>
  </w:style>
  <w:style w:type="character" w:customStyle="1" w:styleId="AltBilgiChar">
    <w:name w:val="Alt Bilgi Char"/>
    <w:basedOn w:val="VarsaylanParagrafYazTipi"/>
    <w:link w:val="AltBilgi"/>
    <w:uiPriority w:val="99"/>
    <w:rsid w:val="009E11DF"/>
    <w:rPr>
      <w:rFonts w:ascii="Times New Roman" w:eastAsia="Times New Roman" w:hAnsi="Times New Roman" w:cs="Times New Roman"/>
      <w:sz w:val="24"/>
      <w:szCs w:val="24"/>
    </w:rPr>
  </w:style>
  <w:style w:type="character" w:styleId="Gl">
    <w:name w:val="Strong"/>
    <w:basedOn w:val="VarsaylanParagrafYazTipi"/>
    <w:uiPriority w:val="22"/>
    <w:qFormat/>
    <w:rsid w:val="00A77EFB"/>
    <w:rPr>
      <w:b/>
      <w:bCs/>
    </w:rPr>
  </w:style>
  <w:style w:type="paragraph" w:styleId="Alnt">
    <w:name w:val="Quote"/>
    <w:basedOn w:val="Normal"/>
    <w:next w:val="Normal"/>
    <w:link w:val="AlntChar"/>
    <w:uiPriority w:val="29"/>
    <w:qFormat/>
    <w:rsid w:val="00A77EFB"/>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A77EFB"/>
    <w:rPr>
      <w:rFonts w:ascii="Times New Roman" w:eastAsia="Times New Roman" w:hAnsi="Times New Roman" w:cs="Times New Roman"/>
      <w:i/>
      <w:iCs/>
      <w:color w:val="404040" w:themeColor="text1" w:themeTint="BF"/>
      <w:sz w:val="24"/>
      <w:szCs w:val="24"/>
    </w:rPr>
  </w:style>
  <w:style w:type="table" w:customStyle="1" w:styleId="KlavuzuTablo4-Vurgu11">
    <w:name w:val="Kılavuzu Tablo 4 - Vurgu 11"/>
    <w:basedOn w:val="NormalTablo"/>
    <w:uiPriority w:val="49"/>
    <w:rsid w:val="00C8237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zeltme">
    <w:name w:val="Revision"/>
    <w:hidden/>
    <w:uiPriority w:val="99"/>
    <w:semiHidden/>
    <w:rsid w:val="00780182"/>
    <w:pPr>
      <w:spacing w:after="0" w:line="240" w:lineRule="auto"/>
    </w:pPr>
    <w:rPr>
      <w:rFonts w:ascii="Times New Roman" w:eastAsia="Times New Roman" w:hAnsi="Times New Roman" w:cs="Times New Roman"/>
      <w:sz w:val="24"/>
      <w:szCs w:val="24"/>
    </w:rPr>
  </w:style>
  <w:style w:type="paragraph" w:customStyle="1" w:styleId="Default">
    <w:name w:val="Default"/>
    <w:rsid w:val="0019142F"/>
    <w:pPr>
      <w:autoSpaceDE w:val="0"/>
      <w:autoSpaceDN w:val="0"/>
      <w:adjustRightInd w:val="0"/>
      <w:spacing w:after="0" w:line="240" w:lineRule="auto"/>
    </w:pPr>
    <w:rPr>
      <w:rFonts w:ascii="Calibri" w:hAnsi="Calibri" w:cs="Calibri"/>
      <w:color w:val="000000"/>
      <w:sz w:val="24"/>
      <w:szCs w:val="24"/>
    </w:rPr>
  </w:style>
  <w:style w:type="paragraph" w:styleId="TBal">
    <w:name w:val="TOC Heading"/>
    <w:basedOn w:val="Balk1"/>
    <w:next w:val="Normal"/>
    <w:uiPriority w:val="39"/>
    <w:unhideWhenUsed/>
    <w:qFormat/>
    <w:rsid w:val="00D54325"/>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tr-TR"/>
    </w:rPr>
  </w:style>
  <w:style w:type="paragraph" w:styleId="T2">
    <w:name w:val="toc 2"/>
    <w:basedOn w:val="Normal"/>
    <w:next w:val="Normal"/>
    <w:autoRedefine/>
    <w:uiPriority w:val="39"/>
    <w:unhideWhenUsed/>
    <w:rsid w:val="00A1307E"/>
    <w:pPr>
      <w:tabs>
        <w:tab w:val="left" w:pos="660"/>
        <w:tab w:val="right" w:leader="dot" w:pos="9072"/>
      </w:tabs>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95406E"/>
    <w:pPr>
      <w:tabs>
        <w:tab w:val="right" w:leader="dot" w:pos="9061"/>
      </w:tabs>
      <w:spacing w:after="100" w:line="259" w:lineRule="auto"/>
      <w:ind w:left="142"/>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D54325"/>
    <w:pPr>
      <w:spacing w:after="100" w:line="259" w:lineRule="auto"/>
      <w:ind w:left="440"/>
    </w:pPr>
    <w:rPr>
      <w:rFonts w:asciiTheme="minorHAnsi" w:eastAsiaTheme="minorEastAsia" w:hAnsiTheme="minorHAnsi"/>
      <w:sz w:val="22"/>
      <w:szCs w:val="22"/>
      <w:lang w:eastAsia="tr-TR"/>
    </w:rPr>
  </w:style>
  <w:style w:type="character" w:styleId="Kpr">
    <w:name w:val="Hyperlink"/>
    <w:basedOn w:val="VarsaylanParagrafYazTipi"/>
    <w:uiPriority w:val="99"/>
    <w:unhideWhenUsed/>
    <w:rsid w:val="00377FA3"/>
    <w:rPr>
      <w:color w:val="0000FF" w:themeColor="hyperlink"/>
      <w:u w:val="single"/>
    </w:rPr>
  </w:style>
  <w:style w:type="paragraph" w:styleId="NormalWeb">
    <w:name w:val="Normal (Web)"/>
    <w:basedOn w:val="Normal"/>
    <w:uiPriority w:val="99"/>
    <w:unhideWhenUsed/>
    <w:rsid w:val="00AB402A"/>
    <w:pPr>
      <w:spacing w:before="100" w:beforeAutospacing="1" w:after="100" w:afterAutospacing="1"/>
    </w:pPr>
    <w:rPr>
      <w:lang w:eastAsia="tr-TR"/>
    </w:rPr>
  </w:style>
  <w:style w:type="character" w:customStyle="1" w:styleId="apple-tab-span">
    <w:name w:val="apple-tab-span"/>
    <w:basedOn w:val="VarsaylanParagrafYazTipi"/>
    <w:rsid w:val="0008662F"/>
  </w:style>
  <w:style w:type="paragraph" w:styleId="DzMetin">
    <w:name w:val="Plain Text"/>
    <w:basedOn w:val="Normal"/>
    <w:link w:val="DzMetinChar"/>
    <w:rsid w:val="00652B3C"/>
    <w:rPr>
      <w:rFonts w:ascii="Courier New" w:hAnsi="Courier New" w:cs="Courier New"/>
      <w:sz w:val="20"/>
      <w:szCs w:val="20"/>
      <w:lang w:eastAsia="tr-TR"/>
    </w:rPr>
  </w:style>
  <w:style w:type="character" w:customStyle="1" w:styleId="DzMetinChar">
    <w:name w:val="Düz Metin Char"/>
    <w:basedOn w:val="VarsaylanParagrafYazTipi"/>
    <w:link w:val="DzMetin"/>
    <w:rsid w:val="00652B3C"/>
    <w:rPr>
      <w:rFonts w:ascii="Courier New" w:eastAsia="Times New Roman" w:hAnsi="Courier New" w:cs="Courier New"/>
      <w:sz w:val="20"/>
      <w:szCs w:val="20"/>
      <w:lang w:eastAsia="tr-TR"/>
    </w:rPr>
  </w:style>
  <w:style w:type="table" w:styleId="TabloKlavuzu">
    <w:name w:val="Table Grid"/>
    <w:basedOn w:val="NormalTablo"/>
    <w:uiPriority w:val="39"/>
    <w:rsid w:val="00F17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55466B"/>
  </w:style>
  <w:style w:type="paragraph" w:customStyle="1" w:styleId="xmsonormal">
    <w:name w:val="x_msonormal"/>
    <w:basedOn w:val="Normal"/>
    <w:rsid w:val="00AA298A"/>
    <w:pPr>
      <w:spacing w:before="100" w:beforeAutospacing="1" w:after="100" w:afterAutospacing="1"/>
    </w:pPr>
    <w:rPr>
      <w:lang w:eastAsia="tr-TR"/>
    </w:rPr>
  </w:style>
  <w:style w:type="character" w:customStyle="1" w:styleId="xapple-converted-space">
    <w:name w:val="x_apple-converted-space"/>
    <w:basedOn w:val="VarsaylanParagrafYazTipi"/>
    <w:rsid w:val="00AA298A"/>
  </w:style>
  <w:style w:type="character" w:customStyle="1" w:styleId="Gvdemetni5">
    <w:name w:val="Gövde metni (5)_"/>
    <w:basedOn w:val="VarsaylanParagrafYazTipi"/>
    <w:link w:val="Gvdemetni50"/>
    <w:rsid w:val="00C83B92"/>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C83B92"/>
    <w:pPr>
      <w:shd w:val="clear" w:color="auto" w:fill="FFFFFF"/>
      <w:spacing w:line="270" w:lineRule="exact"/>
      <w:jc w:val="both"/>
    </w:pPr>
    <w:rPr>
      <w:sz w:val="22"/>
      <w:szCs w:val="22"/>
    </w:rPr>
  </w:style>
  <w:style w:type="character" w:styleId="zlenenKpr">
    <w:name w:val="FollowedHyperlink"/>
    <w:basedOn w:val="VarsaylanParagrafYazTipi"/>
    <w:uiPriority w:val="99"/>
    <w:semiHidden/>
    <w:unhideWhenUsed/>
    <w:rsid w:val="00F656C3"/>
    <w:rPr>
      <w:color w:val="954F72"/>
      <w:u w:val="single"/>
    </w:rPr>
  </w:style>
  <w:style w:type="paragraph" w:customStyle="1" w:styleId="xl68">
    <w:name w:val="xl68"/>
    <w:basedOn w:val="Normal"/>
    <w:rsid w:val="00F656C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lang w:eastAsia="tr-TR"/>
    </w:rPr>
  </w:style>
  <w:style w:type="paragraph" w:customStyle="1" w:styleId="xl69">
    <w:name w:val="xl69"/>
    <w:basedOn w:val="Normal"/>
    <w:rsid w:val="00F656C3"/>
    <w:pPr>
      <w:spacing w:before="100" w:beforeAutospacing="1" w:after="100" w:afterAutospacing="1"/>
      <w:jc w:val="center"/>
      <w:textAlignment w:val="center"/>
    </w:pPr>
    <w:rPr>
      <w:rFonts w:ascii="Calibri" w:hAnsi="Calibri"/>
      <w:sz w:val="22"/>
      <w:szCs w:val="22"/>
      <w:lang w:eastAsia="tr-TR"/>
    </w:rPr>
  </w:style>
  <w:style w:type="paragraph" w:customStyle="1" w:styleId="xl70">
    <w:name w:val="xl70"/>
    <w:basedOn w:val="Normal"/>
    <w:rsid w:val="00F656C3"/>
    <w:pPr>
      <w:pBdr>
        <w:top w:val="single" w:sz="4" w:space="0" w:color="000000"/>
        <w:bottom w:val="single" w:sz="4" w:space="0" w:color="000000"/>
      </w:pBdr>
      <w:spacing w:before="100" w:beforeAutospacing="1" w:after="100" w:afterAutospacing="1"/>
      <w:jc w:val="center"/>
      <w:textAlignment w:val="center"/>
    </w:pPr>
    <w:rPr>
      <w:rFonts w:ascii="Calibri" w:hAnsi="Calibri"/>
      <w:sz w:val="22"/>
      <w:szCs w:val="22"/>
      <w:lang w:eastAsia="tr-TR"/>
    </w:rPr>
  </w:style>
  <w:style w:type="paragraph" w:customStyle="1" w:styleId="xl71">
    <w:name w:val="xl71"/>
    <w:basedOn w:val="Normal"/>
    <w:rsid w:val="00F656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2"/>
      <w:szCs w:val="22"/>
      <w:lang w:eastAsia="tr-TR"/>
    </w:rPr>
  </w:style>
  <w:style w:type="paragraph" w:customStyle="1" w:styleId="xl72">
    <w:name w:val="xl72"/>
    <w:basedOn w:val="Normal"/>
    <w:rsid w:val="00F656C3"/>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sz w:val="22"/>
      <w:szCs w:val="22"/>
      <w:lang w:eastAsia="tr-TR"/>
    </w:rPr>
  </w:style>
  <w:style w:type="paragraph" w:customStyle="1" w:styleId="xl73">
    <w:name w:val="xl73"/>
    <w:basedOn w:val="Normal"/>
    <w:rsid w:val="00F656C3"/>
    <w:pPr>
      <w:spacing w:before="100" w:beforeAutospacing="1" w:after="100" w:afterAutospacing="1"/>
      <w:textAlignment w:val="center"/>
    </w:pPr>
    <w:rPr>
      <w:rFonts w:ascii="Calibri" w:hAnsi="Calibri"/>
      <w:sz w:val="22"/>
      <w:szCs w:val="22"/>
      <w:lang w:eastAsia="tr-TR"/>
    </w:rPr>
  </w:style>
  <w:style w:type="paragraph" w:customStyle="1" w:styleId="xl74">
    <w:name w:val="xl74"/>
    <w:basedOn w:val="Normal"/>
    <w:rsid w:val="00F656C3"/>
    <w:pPr>
      <w:spacing w:before="100" w:beforeAutospacing="1" w:after="100" w:afterAutospacing="1"/>
    </w:pPr>
    <w:rPr>
      <w:lang w:eastAsia="tr-TR"/>
    </w:rPr>
  </w:style>
  <w:style w:type="paragraph" w:customStyle="1" w:styleId="xl75">
    <w:name w:val="xl75"/>
    <w:basedOn w:val="Normal"/>
    <w:rsid w:val="00F656C3"/>
    <w:pPr>
      <w:pBdr>
        <w:top w:val="single" w:sz="4" w:space="0" w:color="000000"/>
        <w:left w:val="single" w:sz="4" w:space="0" w:color="000000"/>
        <w:bottom w:val="single" w:sz="4" w:space="0" w:color="000000"/>
      </w:pBdr>
      <w:shd w:val="clear" w:color="000000" w:fill="BFBFBF"/>
      <w:spacing w:before="100" w:beforeAutospacing="1" w:after="100" w:afterAutospacing="1"/>
      <w:textAlignment w:val="center"/>
    </w:pPr>
    <w:rPr>
      <w:rFonts w:ascii="Calibri" w:hAnsi="Calibri"/>
      <w:b/>
      <w:bCs/>
      <w:sz w:val="22"/>
      <w:szCs w:val="22"/>
      <w:lang w:eastAsia="tr-TR"/>
    </w:rPr>
  </w:style>
  <w:style w:type="paragraph" w:customStyle="1" w:styleId="xl76">
    <w:name w:val="xl76"/>
    <w:basedOn w:val="Normal"/>
    <w:rsid w:val="00F656C3"/>
    <w:pPr>
      <w:pBdr>
        <w:top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2"/>
      <w:szCs w:val="22"/>
      <w:lang w:eastAsia="tr-TR"/>
    </w:rPr>
  </w:style>
  <w:style w:type="paragraph" w:customStyle="1" w:styleId="xl77">
    <w:name w:val="xl77"/>
    <w:basedOn w:val="Normal"/>
    <w:rsid w:val="00F656C3"/>
    <w:pPr>
      <w:spacing w:before="100" w:beforeAutospacing="1" w:after="100" w:afterAutospacing="1"/>
    </w:pPr>
    <w:rPr>
      <w:rFonts w:ascii="Calibri" w:hAnsi="Calibri"/>
      <w:color w:val="000000"/>
      <w:sz w:val="32"/>
      <w:szCs w:val="32"/>
      <w:lang w:eastAsia="tr-TR"/>
    </w:rPr>
  </w:style>
  <w:style w:type="paragraph" w:customStyle="1" w:styleId="xl78">
    <w:name w:val="xl78"/>
    <w:basedOn w:val="Normal"/>
    <w:rsid w:val="00F656C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32"/>
      <w:szCs w:val="32"/>
      <w:lang w:eastAsia="tr-TR"/>
    </w:rPr>
  </w:style>
  <w:style w:type="paragraph" w:customStyle="1" w:styleId="xl79">
    <w:name w:val="xl79"/>
    <w:basedOn w:val="Normal"/>
    <w:rsid w:val="00F656C3"/>
    <w:pPr>
      <w:shd w:val="clear" w:color="000000" w:fill="548235"/>
      <w:spacing w:before="100" w:beforeAutospacing="1" w:after="100" w:afterAutospacing="1"/>
    </w:pPr>
    <w:rPr>
      <w:rFonts w:ascii="Arial" w:hAnsi="Arial" w:cs="Arial"/>
      <w:b/>
      <w:bCs/>
      <w:sz w:val="28"/>
      <w:szCs w:val="28"/>
      <w:lang w:eastAsia="tr-TR"/>
    </w:rPr>
  </w:style>
  <w:style w:type="paragraph" w:customStyle="1" w:styleId="xl80">
    <w:name w:val="xl80"/>
    <w:basedOn w:val="Normal"/>
    <w:rsid w:val="00F656C3"/>
    <w:pPr>
      <w:shd w:val="clear" w:color="000000" w:fill="548235"/>
      <w:spacing w:before="100" w:beforeAutospacing="1" w:after="100" w:afterAutospacing="1"/>
    </w:pPr>
    <w:rPr>
      <w:rFonts w:ascii="Arial" w:hAnsi="Arial" w:cs="Arial"/>
      <w:b/>
      <w:bCs/>
      <w:sz w:val="28"/>
      <w:szCs w:val="28"/>
      <w:lang w:eastAsia="tr-TR"/>
    </w:rPr>
  </w:style>
  <w:style w:type="paragraph" w:customStyle="1" w:styleId="xl81">
    <w:name w:val="xl81"/>
    <w:basedOn w:val="Normal"/>
    <w:rsid w:val="00F656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lang w:eastAsia="tr-TR"/>
    </w:rPr>
  </w:style>
  <w:style w:type="paragraph" w:customStyle="1" w:styleId="xl82">
    <w:name w:val="xl82"/>
    <w:basedOn w:val="Normal"/>
    <w:rsid w:val="00F656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lang w:eastAsia="tr-TR"/>
    </w:rPr>
  </w:style>
  <w:style w:type="paragraph" w:customStyle="1" w:styleId="xl83">
    <w:name w:val="xl83"/>
    <w:basedOn w:val="Normal"/>
    <w:rsid w:val="00F656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lang w:eastAsia="tr-TR"/>
    </w:rPr>
  </w:style>
  <w:style w:type="paragraph" w:customStyle="1" w:styleId="xl84">
    <w:name w:val="xl84"/>
    <w:basedOn w:val="Normal"/>
    <w:rsid w:val="00F656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lang w:eastAsia="tr-TR"/>
    </w:rPr>
  </w:style>
  <w:style w:type="paragraph" w:customStyle="1" w:styleId="xl85">
    <w:name w:val="xl85"/>
    <w:basedOn w:val="Normal"/>
    <w:rsid w:val="00F656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lang w:eastAsia="tr-TR"/>
    </w:rPr>
  </w:style>
  <w:style w:type="paragraph" w:customStyle="1" w:styleId="xl86">
    <w:name w:val="xl86"/>
    <w:basedOn w:val="Normal"/>
    <w:rsid w:val="00F656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lang w:eastAsia="tr-TR"/>
    </w:rPr>
  </w:style>
  <w:style w:type="paragraph" w:customStyle="1" w:styleId="xl87">
    <w:name w:val="xl87"/>
    <w:basedOn w:val="Normal"/>
    <w:rsid w:val="00F656C3"/>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lang w:eastAsia="tr-TR"/>
    </w:rPr>
  </w:style>
  <w:style w:type="paragraph" w:customStyle="1" w:styleId="xl88">
    <w:name w:val="xl88"/>
    <w:basedOn w:val="Normal"/>
    <w:rsid w:val="00F656C3"/>
    <w:pPr>
      <w:pBdr>
        <w:top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lang w:eastAsia="tr-TR"/>
    </w:rPr>
  </w:style>
  <w:style w:type="paragraph" w:customStyle="1" w:styleId="xl89">
    <w:name w:val="xl89"/>
    <w:basedOn w:val="Normal"/>
    <w:rsid w:val="00F656C3"/>
    <w:pPr>
      <w:pBdr>
        <w:top w:val="single" w:sz="4" w:space="0" w:color="000000"/>
        <w:left w:val="single" w:sz="4" w:space="0" w:color="000000"/>
        <w:bottom w:val="single" w:sz="4" w:space="0" w:color="000000"/>
      </w:pBdr>
      <w:shd w:val="clear" w:color="000000" w:fill="C65911"/>
      <w:spacing w:before="100" w:beforeAutospacing="1" w:after="100" w:afterAutospacing="1"/>
      <w:textAlignment w:val="center"/>
    </w:pPr>
    <w:rPr>
      <w:rFonts w:ascii="Calibri" w:hAnsi="Calibri"/>
      <w:sz w:val="22"/>
      <w:szCs w:val="22"/>
      <w:lang w:eastAsia="tr-TR"/>
    </w:rPr>
  </w:style>
  <w:style w:type="paragraph" w:customStyle="1" w:styleId="xl90">
    <w:name w:val="xl90"/>
    <w:basedOn w:val="Normal"/>
    <w:rsid w:val="00F656C3"/>
    <w:pPr>
      <w:pBdr>
        <w:top w:val="single" w:sz="4" w:space="0" w:color="000000"/>
        <w:bottom w:val="single" w:sz="4" w:space="0" w:color="000000"/>
      </w:pBdr>
      <w:shd w:val="clear" w:color="000000" w:fill="C65911"/>
      <w:spacing w:before="100" w:beforeAutospacing="1" w:after="100" w:afterAutospacing="1"/>
      <w:textAlignment w:val="center"/>
    </w:pPr>
    <w:rPr>
      <w:rFonts w:ascii="Calibri" w:hAnsi="Calibri"/>
      <w:sz w:val="22"/>
      <w:szCs w:val="22"/>
      <w:lang w:eastAsia="tr-TR"/>
    </w:rPr>
  </w:style>
  <w:style w:type="paragraph" w:customStyle="1" w:styleId="xl91">
    <w:name w:val="xl91"/>
    <w:basedOn w:val="Normal"/>
    <w:rsid w:val="00F656C3"/>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2"/>
      <w:szCs w:val="22"/>
      <w:lang w:eastAsia="tr-TR"/>
    </w:rPr>
  </w:style>
  <w:style w:type="paragraph" w:customStyle="1" w:styleId="xl92">
    <w:name w:val="xl92"/>
    <w:basedOn w:val="Normal"/>
    <w:rsid w:val="00F656C3"/>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lang w:eastAsia="tr-TR"/>
    </w:rPr>
  </w:style>
  <w:style w:type="paragraph" w:customStyle="1" w:styleId="xl93">
    <w:name w:val="xl93"/>
    <w:basedOn w:val="Normal"/>
    <w:rsid w:val="00F656C3"/>
    <w:pPr>
      <w:pBdr>
        <w:top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lang w:eastAsia="tr-TR"/>
    </w:rPr>
  </w:style>
  <w:style w:type="paragraph" w:customStyle="1" w:styleId="Normal1">
    <w:name w:val="Normal1"/>
    <w:basedOn w:val="Normal"/>
    <w:rsid w:val="004E7EC8"/>
    <w:pPr>
      <w:spacing w:before="100" w:beforeAutospacing="1" w:after="100" w:afterAutospacing="1"/>
    </w:pPr>
    <w:rPr>
      <w:lang w:eastAsia="tr-TR"/>
    </w:rPr>
  </w:style>
  <w:style w:type="paragraph" w:customStyle="1" w:styleId="ortabalkbold">
    <w:name w:val="ortabalkbold"/>
    <w:basedOn w:val="Normal"/>
    <w:rsid w:val="00F94958"/>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2941">
      <w:bodyDiv w:val="1"/>
      <w:marLeft w:val="0"/>
      <w:marRight w:val="0"/>
      <w:marTop w:val="0"/>
      <w:marBottom w:val="0"/>
      <w:divBdr>
        <w:top w:val="none" w:sz="0" w:space="0" w:color="auto"/>
        <w:left w:val="none" w:sz="0" w:space="0" w:color="auto"/>
        <w:bottom w:val="none" w:sz="0" w:space="0" w:color="auto"/>
        <w:right w:val="none" w:sz="0" w:space="0" w:color="auto"/>
      </w:divBdr>
    </w:div>
    <w:div w:id="100926432">
      <w:bodyDiv w:val="1"/>
      <w:marLeft w:val="0"/>
      <w:marRight w:val="0"/>
      <w:marTop w:val="0"/>
      <w:marBottom w:val="0"/>
      <w:divBdr>
        <w:top w:val="none" w:sz="0" w:space="0" w:color="auto"/>
        <w:left w:val="none" w:sz="0" w:space="0" w:color="auto"/>
        <w:bottom w:val="none" w:sz="0" w:space="0" w:color="auto"/>
        <w:right w:val="none" w:sz="0" w:space="0" w:color="auto"/>
      </w:divBdr>
    </w:div>
    <w:div w:id="105513233">
      <w:bodyDiv w:val="1"/>
      <w:marLeft w:val="0"/>
      <w:marRight w:val="0"/>
      <w:marTop w:val="0"/>
      <w:marBottom w:val="0"/>
      <w:divBdr>
        <w:top w:val="none" w:sz="0" w:space="0" w:color="auto"/>
        <w:left w:val="none" w:sz="0" w:space="0" w:color="auto"/>
        <w:bottom w:val="none" w:sz="0" w:space="0" w:color="auto"/>
        <w:right w:val="none" w:sz="0" w:space="0" w:color="auto"/>
      </w:divBdr>
    </w:div>
    <w:div w:id="121658134">
      <w:bodyDiv w:val="1"/>
      <w:marLeft w:val="0"/>
      <w:marRight w:val="0"/>
      <w:marTop w:val="0"/>
      <w:marBottom w:val="0"/>
      <w:divBdr>
        <w:top w:val="none" w:sz="0" w:space="0" w:color="auto"/>
        <w:left w:val="none" w:sz="0" w:space="0" w:color="auto"/>
        <w:bottom w:val="none" w:sz="0" w:space="0" w:color="auto"/>
        <w:right w:val="none" w:sz="0" w:space="0" w:color="auto"/>
      </w:divBdr>
    </w:div>
    <w:div w:id="131797646">
      <w:bodyDiv w:val="1"/>
      <w:marLeft w:val="0"/>
      <w:marRight w:val="0"/>
      <w:marTop w:val="0"/>
      <w:marBottom w:val="0"/>
      <w:divBdr>
        <w:top w:val="none" w:sz="0" w:space="0" w:color="auto"/>
        <w:left w:val="none" w:sz="0" w:space="0" w:color="auto"/>
        <w:bottom w:val="none" w:sz="0" w:space="0" w:color="auto"/>
        <w:right w:val="none" w:sz="0" w:space="0" w:color="auto"/>
      </w:divBdr>
    </w:div>
    <w:div w:id="160242570">
      <w:bodyDiv w:val="1"/>
      <w:marLeft w:val="0"/>
      <w:marRight w:val="0"/>
      <w:marTop w:val="0"/>
      <w:marBottom w:val="0"/>
      <w:divBdr>
        <w:top w:val="none" w:sz="0" w:space="0" w:color="auto"/>
        <w:left w:val="none" w:sz="0" w:space="0" w:color="auto"/>
        <w:bottom w:val="none" w:sz="0" w:space="0" w:color="auto"/>
        <w:right w:val="none" w:sz="0" w:space="0" w:color="auto"/>
      </w:divBdr>
    </w:div>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172493420">
      <w:bodyDiv w:val="1"/>
      <w:marLeft w:val="0"/>
      <w:marRight w:val="0"/>
      <w:marTop w:val="0"/>
      <w:marBottom w:val="0"/>
      <w:divBdr>
        <w:top w:val="none" w:sz="0" w:space="0" w:color="auto"/>
        <w:left w:val="none" w:sz="0" w:space="0" w:color="auto"/>
        <w:bottom w:val="none" w:sz="0" w:space="0" w:color="auto"/>
        <w:right w:val="none" w:sz="0" w:space="0" w:color="auto"/>
      </w:divBdr>
    </w:div>
    <w:div w:id="179705632">
      <w:bodyDiv w:val="1"/>
      <w:marLeft w:val="0"/>
      <w:marRight w:val="0"/>
      <w:marTop w:val="0"/>
      <w:marBottom w:val="0"/>
      <w:divBdr>
        <w:top w:val="none" w:sz="0" w:space="0" w:color="auto"/>
        <w:left w:val="none" w:sz="0" w:space="0" w:color="auto"/>
        <w:bottom w:val="none" w:sz="0" w:space="0" w:color="auto"/>
        <w:right w:val="none" w:sz="0" w:space="0" w:color="auto"/>
      </w:divBdr>
    </w:div>
    <w:div w:id="181239394">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93051438">
      <w:bodyDiv w:val="1"/>
      <w:marLeft w:val="0"/>
      <w:marRight w:val="0"/>
      <w:marTop w:val="0"/>
      <w:marBottom w:val="0"/>
      <w:divBdr>
        <w:top w:val="none" w:sz="0" w:space="0" w:color="auto"/>
        <w:left w:val="none" w:sz="0" w:space="0" w:color="auto"/>
        <w:bottom w:val="none" w:sz="0" w:space="0" w:color="auto"/>
        <w:right w:val="none" w:sz="0" w:space="0" w:color="auto"/>
      </w:divBdr>
    </w:div>
    <w:div w:id="618491938">
      <w:bodyDiv w:val="1"/>
      <w:marLeft w:val="0"/>
      <w:marRight w:val="0"/>
      <w:marTop w:val="0"/>
      <w:marBottom w:val="0"/>
      <w:divBdr>
        <w:top w:val="none" w:sz="0" w:space="0" w:color="auto"/>
        <w:left w:val="none" w:sz="0" w:space="0" w:color="auto"/>
        <w:bottom w:val="none" w:sz="0" w:space="0" w:color="auto"/>
        <w:right w:val="none" w:sz="0" w:space="0" w:color="auto"/>
      </w:divBdr>
    </w:div>
    <w:div w:id="669991781">
      <w:bodyDiv w:val="1"/>
      <w:marLeft w:val="0"/>
      <w:marRight w:val="0"/>
      <w:marTop w:val="0"/>
      <w:marBottom w:val="0"/>
      <w:divBdr>
        <w:top w:val="none" w:sz="0" w:space="0" w:color="auto"/>
        <w:left w:val="none" w:sz="0" w:space="0" w:color="auto"/>
        <w:bottom w:val="none" w:sz="0" w:space="0" w:color="auto"/>
        <w:right w:val="none" w:sz="0" w:space="0" w:color="auto"/>
      </w:divBdr>
    </w:div>
    <w:div w:id="679739843">
      <w:bodyDiv w:val="1"/>
      <w:marLeft w:val="0"/>
      <w:marRight w:val="0"/>
      <w:marTop w:val="0"/>
      <w:marBottom w:val="0"/>
      <w:divBdr>
        <w:top w:val="none" w:sz="0" w:space="0" w:color="auto"/>
        <w:left w:val="none" w:sz="0" w:space="0" w:color="auto"/>
        <w:bottom w:val="none" w:sz="0" w:space="0" w:color="auto"/>
        <w:right w:val="none" w:sz="0" w:space="0" w:color="auto"/>
      </w:divBdr>
    </w:div>
    <w:div w:id="694774603">
      <w:bodyDiv w:val="1"/>
      <w:marLeft w:val="0"/>
      <w:marRight w:val="0"/>
      <w:marTop w:val="0"/>
      <w:marBottom w:val="0"/>
      <w:divBdr>
        <w:top w:val="none" w:sz="0" w:space="0" w:color="auto"/>
        <w:left w:val="none" w:sz="0" w:space="0" w:color="auto"/>
        <w:bottom w:val="none" w:sz="0" w:space="0" w:color="auto"/>
        <w:right w:val="none" w:sz="0" w:space="0" w:color="auto"/>
      </w:divBdr>
    </w:div>
    <w:div w:id="730082300">
      <w:bodyDiv w:val="1"/>
      <w:marLeft w:val="0"/>
      <w:marRight w:val="0"/>
      <w:marTop w:val="0"/>
      <w:marBottom w:val="0"/>
      <w:divBdr>
        <w:top w:val="none" w:sz="0" w:space="0" w:color="auto"/>
        <w:left w:val="none" w:sz="0" w:space="0" w:color="auto"/>
        <w:bottom w:val="none" w:sz="0" w:space="0" w:color="auto"/>
        <w:right w:val="none" w:sz="0" w:space="0" w:color="auto"/>
      </w:divBdr>
    </w:div>
    <w:div w:id="732654794">
      <w:bodyDiv w:val="1"/>
      <w:marLeft w:val="0"/>
      <w:marRight w:val="0"/>
      <w:marTop w:val="0"/>
      <w:marBottom w:val="0"/>
      <w:divBdr>
        <w:top w:val="none" w:sz="0" w:space="0" w:color="auto"/>
        <w:left w:val="none" w:sz="0" w:space="0" w:color="auto"/>
        <w:bottom w:val="none" w:sz="0" w:space="0" w:color="auto"/>
        <w:right w:val="none" w:sz="0" w:space="0" w:color="auto"/>
      </w:divBdr>
    </w:div>
    <w:div w:id="764616204">
      <w:bodyDiv w:val="1"/>
      <w:marLeft w:val="0"/>
      <w:marRight w:val="0"/>
      <w:marTop w:val="0"/>
      <w:marBottom w:val="0"/>
      <w:divBdr>
        <w:top w:val="none" w:sz="0" w:space="0" w:color="auto"/>
        <w:left w:val="none" w:sz="0" w:space="0" w:color="auto"/>
        <w:bottom w:val="none" w:sz="0" w:space="0" w:color="auto"/>
        <w:right w:val="none" w:sz="0" w:space="0" w:color="auto"/>
      </w:divBdr>
    </w:div>
    <w:div w:id="771390312">
      <w:bodyDiv w:val="1"/>
      <w:marLeft w:val="0"/>
      <w:marRight w:val="0"/>
      <w:marTop w:val="0"/>
      <w:marBottom w:val="0"/>
      <w:divBdr>
        <w:top w:val="none" w:sz="0" w:space="0" w:color="auto"/>
        <w:left w:val="none" w:sz="0" w:space="0" w:color="auto"/>
        <w:bottom w:val="none" w:sz="0" w:space="0" w:color="auto"/>
        <w:right w:val="none" w:sz="0" w:space="0" w:color="auto"/>
      </w:divBdr>
    </w:div>
    <w:div w:id="803810128">
      <w:bodyDiv w:val="1"/>
      <w:marLeft w:val="0"/>
      <w:marRight w:val="0"/>
      <w:marTop w:val="0"/>
      <w:marBottom w:val="0"/>
      <w:divBdr>
        <w:top w:val="none" w:sz="0" w:space="0" w:color="auto"/>
        <w:left w:val="none" w:sz="0" w:space="0" w:color="auto"/>
        <w:bottom w:val="none" w:sz="0" w:space="0" w:color="auto"/>
        <w:right w:val="none" w:sz="0" w:space="0" w:color="auto"/>
      </w:divBdr>
    </w:div>
    <w:div w:id="81645521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
          <w:marLeft w:val="446"/>
          <w:marRight w:val="0"/>
          <w:marTop w:val="0"/>
          <w:marBottom w:val="0"/>
          <w:divBdr>
            <w:top w:val="none" w:sz="0" w:space="0" w:color="auto"/>
            <w:left w:val="none" w:sz="0" w:space="0" w:color="auto"/>
            <w:bottom w:val="none" w:sz="0" w:space="0" w:color="auto"/>
            <w:right w:val="none" w:sz="0" w:space="0" w:color="auto"/>
          </w:divBdr>
        </w:div>
        <w:div w:id="1075392116">
          <w:marLeft w:val="446"/>
          <w:marRight w:val="0"/>
          <w:marTop w:val="0"/>
          <w:marBottom w:val="0"/>
          <w:divBdr>
            <w:top w:val="none" w:sz="0" w:space="0" w:color="auto"/>
            <w:left w:val="none" w:sz="0" w:space="0" w:color="auto"/>
            <w:bottom w:val="none" w:sz="0" w:space="0" w:color="auto"/>
            <w:right w:val="none" w:sz="0" w:space="0" w:color="auto"/>
          </w:divBdr>
        </w:div>
      </w:divsChild>
    </w:div>
    <w:div w:id="824200105">
      <w:bodyDiv w:val="1"/>
      <w:marLeft w:val="0"/>
      <w:marRight w:val="0"/>
      <w:marTop w:val="0"/>
      <w:marBottom w:val="0"/>
      <w:divBdr>
        <w:top w:val="none" w:sz="0" w:space="0" w:color="auto"/>
        <w:left w:val="none" w:sz="0" w:space="0" w:color="auto"/>
        <w:bottom w:val="none" w:sz="0" w:space="0" w:color="auto"/>
        <w:right w:val="none" w:sz="0" w:space="0" w:color="auto"/>
      </w:divBdr>
    </w:div>
    <w:div w:id="881791851">
      <w:bodyDiv w:val="1"/>
      <w:marLeft w:val="0"/>
      <w:marRight w:val="0"/>
      <w:marTop w:val="0"/>
      <w:marBottom w:val="0"/>
      <w:divBdr>
        <w:top w:val="none" w:sz="0" w:space="0" w:color="auto"/>
        <w:left w:val="none" w:sz="0" w:space="0" w:color="auto"/>
        <w:bottom w:val="none" w:sz="0" w:space="0" w:color="auto"/>
        <w:right w:val="none" w:sz="0" w:space="0" w:color="auto"/>
      </w:divBdr>
    </w:div>
    <w:div w:id="1048141048">
      <w:bodyDiv w:val="1"/>
      <w:marLeft w:val="0"/>
      <w:marRight w:val="0"/>
      <w:marTop w:val="0"/>
      <w:marBottom w:val="0"/>
      <w:divBdr>
        <w:top w:val="none" w:sz="0" w:space="0" w:color="auto"/>
        <w:left w:val="none" w:sz="0" w:space="0" w:color="auto"/>
        <w:bottom w:val="none" w:sz="0" w:space="0" w:color="auto"/>
        <w:right w:val="none" w:sz="0" w:space="0" w:color="auto"/>
      </w:divBdr>
    </w:div>
    <w:div w:id="1054431599">
      <w:bodyDiv w:val="1"/>
      <w:marLeft w:val="0"/>
      <w:marRight w:val="0"/>
      <w:marTop w:val="0"/>
      <w:marBottom w:val="0"/>
      <w:divBdr>
        <w:top w:val="none" w:sz="0" w:space="0" w:color="auto"/>
        <w:left w:val="none" w:sz="0" w:space="0" w:color="auto"/>
        <w:bottom w:val="none" w:sz="0" w:space="0" w:color="auto"/>
        <w:right w:val="none" w:sz="0" w:space="0" w:color="auto"/>
      </w:divBdr>
    </w:div>
    <w:div w:id="1078790684">
      <w:bodyDiv w:val="1"/>
      <w:marLeft w:val="0"/>
      <w:marRight w:val="0"/>
      <w:marTop w:val="0"/>
      <w:marBottom w:val="0"/>
      <w:divBdr>
        <w:top w:val="none" w:sz="0" w:space="0" w:color="auto"/>
        <w:left w:val="none" w:sz="0" w:space="0" w:color="auto"/>
        <w:bottom w:val="none" w:sz="0" w:space="0" w:color="auto"/>
        <w:right w:val="none" w:sz="0" w:space="0" w:color="auto"/>
      </w:divBdr>
    </w:div>
    <w:div w:id="1107849285">
      <w:bodyDiv w:val="1"/>
      <w:marLeft w:val="0"/>
      <w:marRight w:val="0"/>
      <w:marTop w:val="0"/>
      <w:marBottom w:val="0"/>
      <w:divBdr>
        <w:top w:val="none" w:sz="0" w:space="0" w:color="auto"/>
        <w:left w:val="none" w:sz="0" w:space="0" w:color="auto"/>
        <w:bottom w:val="none" w:sz="0" w:space="0" w:color="auto"/>
        <w:right w:val="none" w:sz="0" w:space="0" w:color="auto"/>
      </w:divBdr>
    </w:div>
    <w:div w:id="1116801133">
      <w:bodyDiv w:val="1"/>
      <w:marLeft w:val="0"/>
      <w:marRight w:val="0"/>
      <w:marTop w:val="0"/>
      <w:marBottom w:val="0"/>
      <w:divBdr>
        <w:top w:val="none" w:sz="0" w:space="0" w:color="auto"/>
        <w:left w:val="none" w:sz="0" w:space="0" w:color="auto"/>
        <w:bottom w:val="none" w:sz="0" w:space="0" w:color="auto"/>
        <w:right w:val="none" w:sz="0" w:space="0" w:color="auto"/>
      </w:divBdr>
    </w:div>
    <w:div w:id="1132554205">
      <w:bodyDiv w:val="1"/>
      <w:marLeft w:val="0"/>
      <w:marRight w:val="0"/>
      <w:marTop w:val="0"/>
      <w:marBottom w:val="0"/>
      <w:divBdr>
        <w:top w:val="none" w:sz="0" w:space="0" w:color="auto"/>
        <w:left w:val="none" w:sz="0" w:space="0" w:color="auto"/>
        <w:bottom w:val="none" w:sz="0" w:space="0" w:color="auto"/>
        <w:right w:val="none" w:sz="0" w:space="0" w:color="auto"/>
      </w:divBdr>
    </w:div>
    <w:div w:id="1278413878">
      <w:bodyDiv w:val="1"/>
      <w:marLeft w:val="0"/>
      <w:marRight w:val="0"/>
      <w:marTop w:val="0"/>
      <w:marBottom w:val="0"/>
      <w:divBdr>
        <w:top w:val="none" w:sz="0" w:space="0" w:color="auto"/>
        <w:left w:val="none" w:sz="0" w:space="0" w:color="auto"/>
        <w:bottom w:val="none" w:sz="0" w:space="0" w:color="auto"/>
        <w:right w:val="none" w:sz="0" w:space="0" w:color="auto"/>
      </w:divBdr>
    </w:div>
    <w:div w:id="1294168375">
      <w:bodyDiv w:val="1"/>
      <w:marLeft w:val="0"/>
      <w:marRight w:val="0"/>
      <w:marTop w:val="0"/>
      <w:marBottom w:val="0"/>
      <w:divBdr>
        <w:top w:val="none" w:sz="0" w:space="0" w:color="auto"/>
        <w:left w:val="none" w:sz="0" w:space="0" w:color="auto"/>
        <w:bottom w:val="none" w:sz="0" w:space="0" w:color="auto"/>
        <w:right w:val="none" w:sz="0" w:space="0" w:color="auto"/>
      </w:divBdr>
    </w:div>
    <w:div w:id="1295722300">
      <w:bodyDiv w:val="1"/>
      <w:marLeft w:val="0"/>
      <w:marRight w:val="0"/>
      <w:marTop w:val="0"/>
      <w:marBottom w:val="0"/>
      <w:divBdr>
        <w:top w:val="none" w:sz="0" w:space="0" w:color="auto"/>
        <w:left w:val="none" w:sz="0" w:space="0" w:color="auto"/>
        <w:bottom w:val="none" w:sz="0" w:space="0" w:color="auto"/>
        <w:right w:val="none" w:sz="0" w:space="0" w:color="auto"/>
      </w:divBdr>
    </w:div>
    <w:div w:id="1307660613">
      <w:bodyDiv w:val="1"/>
      <w:marLeft w:val="0"/>
      <w:marRight w:val="0"/>
      <w:marTop w:val="0"/>
      <w:marBottom w:val="0"/>
      <w:divBdr>
        <w:top w:val="none" w:sz="0" w:space="0" w:color="auto"/>
        <w:left w:val="none" w:sz="0" w:space="0" w:color="auto"/>
        <w:bottom w:val="none" w:sz="0" w:space="0" w:color="auto"/>
        <w:right w:val="none" w:sz="0" w:space="0" w:color="auto"/>
      </w:divBdr>
    </w:div>
    <w:div w:id="1318998047">
      <w:bodyDiv w:val="1"/>
      <w:marLeft w:val="0"/>
      <w:marRight w:val="0"/>
      <w:marTop w:val="0"/>
      <w:marBottom w:val="0"/>
      <w:divBdr>
        <w:top w:val="none" w:sz="0" w:space="0" w:color="auto"/>
        <w:left w:val="none" w:sz="0" w:space="0" w:color="auto"/>
        <w:bottom w:val="none" w:sz="0" w:space="0" w:color="auto"/>
        <w:right w:val="none" w:sz="0" w:space="0" w:color="auto"/>
      </w:divBdr>
    </w:div>
    <w:div w:id="1353216280">
      <w:bodyDiv w:val="1"/>
      <w:marLeft w:val="0"/>
      <w:marRight w:val="0"/>
      <w:marTop w:val="0"/>
      <w:marBottom w:val="0"/>
      <w:divBdr>
        <w:top w:val="none" w:sz="0" w:space="0" w:color="auto"/>
        <w:left w:val="none" w:sz="0" w:space="0" w:color="auto"/>
        <w:bottom w:val="none" w:sz="0" w:space="0" w:color="auto"/>
        <w:right w:val="none" w:sz="0" w:space="0" w:color="auto"/>
      </w:divBdr>
    </w:div>
    <w:div w:id="1365211837">
      <w:bodyDiv w:val="1"/>
      <w:marLeft w:val="0"/>
      <w:marRight w:val="0"/>
      <w:marTop w:val="0"/>
      <w:marBottom w:val="0"/>
      <w:divBdr>
        <w:top w:val="none" w:sz="0" w:space="0" w:color="auto"/>
        <w:left w:val="none" w:sz="0" w:space="0" w:color="auto"/>
        <w:bottom w:val="none" w:sz="0" w:space="0" w:color="auto"/>
        <w:right w:val="none" w:sz="0" w:space="0" w:color="auto"/>
      </w:divBdr>
    </w:div>
    <w:div w:id="1367099648">
      <w:bodyDiv w:val="1"/>
      <w:marLeft w:val="0"/>
      <w:marRight w:val="0"/>
      <w:marTop w:val="0"/>
      <w:marBottom w:val="0"/>
      <w:divBdr>
        <w:top w:val="none" w:sz="0" w:space="0" w:color="auto"/>
        <w:left w:val="none" w:sz="0" w:space="0" w:color="auto"/>
        <w:bottom w:val="none" w:sz="0" w:space="0" w:color="auto"/>
        <w:right w:val="none" w:sz="0" w:space="0" w:color="auto"/>
      </w:divBdr>
    </w:div>
    <w:div w:id="1371219968">
      <w:bodyDiv w:val="1"/>
      <w:marLeft w:val="0"/>
      <w:marRight w:val="0"/>
      <w:marTop w:val="0"/>
      <w:marBottom w:val="0"/>
      <w:divBdr>
        <w:top w:val="none" w:sz="0" w:space="0" w:color="auto"/>
        <w:left w:val="none" w:sz="0" w:space="0" w:color="auto"/>
        <w:bottom w:val="none" w:sz="0" w:space="0" w:color="auto"/>
        <w:right w:val="none" w:sz="0" w:space="0" w:color="auto"/>
      </w:divBdr>
    </w:div>
    <w:div w:id="1385173982">
      <w:bodyDiv w:val="1"/>
      <w:marLeft w:val="0"/>
      <w:marRight w:val="0"/>
      <w:marTop w:val="0"/>
      <w:marBottom w:val="0"/>
      <w:divBdr>
        <w:top w:val="none" w:sz="0" w:space="0" w:color="auto"/>
        <w:left w:val="none" w:sz="0" w:space="0" w:color="auto"/>
        <w:bottom w:val="none" w:sz="0" w:space="0" w:color="auto"/>
        <w:right w:val="none" w:sz="0" w:space="0" w:color="auto"/>
      </w:divBdr>
    </w:div>
    <w:div w:id="1396002574">
      <w:bodyDiv w:val="1"/>
      <w:marLeft w:val="0"/>
      <w:marRight w:val="0"/>
      <w:marTop w:val="0"/>
      <w:marBottom w:val="0"/>
      <w:divBdr>
        <w:top w:val="none" w:sz="0" w:space="0" w:color="auto"/>
        <w:left w:val="none" w:sz="0" w:space="0" w:color="auto"/>
        <w:bottom w:val="none" w:sz="0" w:space="0" w:color="auto"/>
        <w:right w:val="none" w:sz="0" w:space="0" w:color="auto"/>
      </w:divBdr>
    </w:div>
    <w:div w:id="1412194612">
      <w:bodyDiv w:val="1"/>
      <w:marLeft w:val="0"/>
      <w:marRight w:val="0"/>
      <w:marTop w:val="0"/>
      <w:marBottom w:val="0"/>
      <w:divBdr>
        <w:top w:val="none" w:sz="0" w:space="0" w:color="auto"/>
        <w:left w:val="none" w:sz="0" w:space="0" w:color="auto"/>
        <w:bottom w:val="none" w:sz="0" w:space="0" w:color="auto"/>
        <w:right w:val="none" w:sz="0" w:space="0" w:color="auto"/>
      </w:divBdr>
    </w:div>
    <w:div w:id="1433667379">
      <w:bodyDiv w:val="1"/>
      <w:marLeft w:val="0"/>
      <w:marRight w:val="0"/>
      <w:marTop w:val="0"/>
      <w:marBottom w:val="0"/>
      <w:divBdr>
        <w:top w:val="none" w:sz="0" w:space="0" w:color="auto"/>
        <w:left w:val="none" w:sz="0" w:space="0" w:color="auto"/>
        <w:bottom w:val="none" w:sz="0" w:space="0" w:color="auto"/>
        <w:right w:val="none" w:sz="0" w:space="0" w:color="auto"/>
      </w:divBdr>
    </w:div>
    <w:div w:id="1451171367">
      <w:bodyDiv w:val="1"/>
      <w:marLeft w:val="0"/>
      <w:marRight w:val="0"/>
      <w:marTop w:val="0"/>
      <w:marBottom w:val="0"/>
      <w:divBdr>
        <w:top w:val="none" w:sz="0" w:space="0" w:color="auto"/>
        <w:left w:val="none" w:sz="0" w:space="0" w:color="auto"/>
        <w:bottom w:val="none" w:sz="0" w:space="0" w:color="auto"/>
        <w:right w:val="none" w:sz="0" w:space="0" w:color="auto"/>
      </w:divBdr>
    </w:div>
    <w:div w:id="1469545962">
      <w:bodyDiv w:val="1"/>
      <w:marLeft w:val="0"/>
      <w:marRight w:val="0"/>
      <w:marTop w:val="0"/>
      <w:marBottom w:val="0"/>
      <w:divBdr>
        <w:top w:val="none" w:sz="0" w:space="0" w:color="auto"/>
        <w:left w:val="none" w:sz="0" w:space="0" w:color="auto"/>
        <w:bottom w:val="none" w:sz="0" w:space="0" w:color="auto"/>
        <w:right w:val="none" w:sz="0" w:space="0" w:color="auto"/>
      </w:divBdr>
    </w:div>
    <w:div w:id="1480926933">
      <w:bodyDiv w:val="1"/>
      <w:marLeft w:val="0"/>
      <w:marRight w:val="0"/>
      <w:marTop w:val="0"/>
      <w:marBottom w:val="0"/>
      <w:divBdr>
        <w:top w:val="none" w:sz="0" w:space="0" w:color="auto"/>
        <w:left w:val="none" w:sz="0" w:space="0" w:color="auto"/>
        <w:bottom w:val="none" w:sz="0" w:space="0" w:color="auto"/>
        <w:right w:val="none" w:sz="0" w:space="0" w:color="auto"/>
      </w:divBdr>
    </w:div>
    <w:div w:id="1493062297">
      <w:bodyDiv w:val="1"/>
      <w:marLeft w:val="0"/>
      <w:marRight w:val="0"/>
      <w:marTop w:val="0"/>
      <w:marBottom w:val="0"/>
      <w:divBdr>
        <w:top w:val="none" w:sz="0" w:space="0" w:color="auto"/>
        <w:left w:val="none" w:sz="0" w:space="0" w:color="auto"/>
        <w:bottom w:val="none" w:sz="0" w:space="0" w:color="auto"/>
        <w:right w:val="none" w:sz="0" w:space="0" w:color="auto"/>
      </w:divBdr>
    </w:div>
    <w:div w:id="1553074630">
      <w:bodyDiv w:val="1"/>
      <w:marLeft w:val="0"/>
      <w:marRight w:val="0"/>
      <w:marTop w:val="0"/>
      <w:marBottom w:val="0"/>
      <w:divBdr>
        <w:top w:val="none" w:sz="0" w:space="0" w:color="auto"/>
        <w:left w:val="none" w:sz="0" w:space="0" w:color="auto"/>
        <w:bottom w:val="none" w:sz="0" w:space="0" w:color="auto"/>
        <w:right w:val="none" w:sz="0" w:space="0" w:color="auto"/>
      </w:divBdr>
    </w:div>
    <w:div w:id="1588885620">
      <w:bodyDiv w:val="1"/>
      <w:marLeft w:val="0"/>
      <w:marRight w:val="0"/>
      <w:marTop w:val="0"/>
      <w:marBottom w:val="0"/>
      <w:divBdr>
        <w:top w:val="none" w:sz="0" w:space="0" w:color="auto"/>
        <w:left w:val="none" w:sz="0" w:space="0" w:color="auto"/>
        <w:bottom w:val="none" w:sz="0" w:space="0" w:color="auto"/>
        <w:right w:val="none" w:sz="0" w:space="0" w:color="auto"/>
      </w:divBdr>
      <w:divsChild>
        <w:div w:id="195125144">
          <w:marLeft w:val="547"/>
          <w:marRight w:val="0"/>
          <w:marTop w:val="0"/>
          <w:marBottom w:val="0"/>
          <w:divBdr>
            <w:top w:val="none" w:sz="0" w:space="0" w:color="auto"/>
            <w:left w:val="none" w:sz="0" w:space="0" w:color="auto"/>
            <w:bottom w:val="none" w:sz="0" w:space="0" w:color="auto"/>
            <w:right w:val="none" w:sz="0" w:space="0" w:color="auto"/>
          </w:divBdr>
        </w:div>
        <w:div w:id="258028967">
          <w:marLeft w:val="547"/>
          <w:marRight w:val="0"/>
          <w:marTop w:val="0"/>
          <w:marBottom w:val="0"/>
          <w:divBdr>
            <w:top w:val="none" w:sz="0" w:space="0" w:color="auto"/>
            <w:left w:val="none" w:sz="0" w:space="0" w:color="auto"/>
            <w:bottom w:val="none" w:sz="0" w:space="0" w:color="auto"/>
            <w:right w:val="none" w:sz="0" w:space="0" w:color="auto"/>
          </w:divBdr>
        </w:div>
      </w:divsChild>
    </w:div>
    <w:div w:id="1622683919">
      <w:bodyDiv w:val="1"/>
      <w:marLeft w:val="0"/>
      <w:marRight w:val="0"/>
      <w:marTop w:val="0"/>
      <w:marBottom w:val="0"/>
      <w:divBdr>
        <w:top w:val="none" w:sz="0" w:space="0" w:color="auto"/>
        <w:left w:val="none" w:sz="0" w:space="0" w:color="auto"/>
        <w:bottom w:val="none" w:sz="0" w:space="0" w:color="auto"/>
        <w:right w:val="none" w:sz="0" w:space="0" w:color="auto"/>
      </w:divBdr>
    </w:div>
    <w:div w:id="1623921346">
      <w:bodyDiv w:val="1"/>
      <w:marLeft w:val="0"/>
      <w:marRight w:val="0"/>
      <w:marTop w:val="0"/>
      <w:marBottom w:val="0"/>
      <w:divBdr>
        <w:top w:val="none" w:sz="0" w:space="0" w:color="auto"/>
        <w:left w:val="none" w:sz="0" w:space="0" w:color="auto"/>
        <w:bottom w:val="none" w:sz="0" w:space="0" w:color="auto"/>
        <w:right w:val="none" w:sz="0" w:space="0" w:color="auto"/>
      </w:divBdr>
    </w:div>
    <w:div w:id="1671132020">
      <w:bodyDiv w:val="1"/>
      <w:marLeft w:val="0"/>
      <w:marRight w:val="0"/>
      <w:marTop w:val="0"/>
      <w:marBottom w:val="0"/>
      <w:divBdr>
        <w:top w:val="none" w:sz="0" w:space="0" w:color="auto"/>
        <w:left w:val="none" w:sz="0" w:space="0" w:color="auto"/>
        <w:bottom w:val="none" w:sz="0" w:space="0" w:color="auto"/>
        <w:right w:val="none" w:sz="0" w:space="0" w:color="auto"/>
      </w:divBdr>
    </w:div>
    <w:div w:id="1697458403">
      <w:bodyDiv w:val="1"/>
      <w:marLeft w:val="0"/>
      <w:marRight w:val="0"/>
      <w:marTop w:val="0"/>
      <w:marBottom w:val="0"/>
      <w:divBdr>
        <w:top w:val="none" w:sz="0" w:space="0" w:color="auto"/>
        <w:left w:val="none" w:sz="0" w:space="0" w:color="auto"/>
        <w:bottom w:val="none" w:sz="0" w:space="0" w:color="auto"/>
        <w:right w:val="none" w:sz="0" w:space="0" w:color="auto"/>
      </w:divBdr>
    </w:div>
    <w:div w:id="1700619519">
      <w:bodyDiv w:val="1"/>
      <w:marLeft w:val="0"/>
      <w:marRight w:val="0"/>
      <w:marTop w:val="0"/>
      <w:marBottom w:val="0"/>
      <w:divBdr>
        <w:top w:val="none" w:sz="0" w:space="0" w:color="auto"/>
        <w:left w:val="none" w:sz="0" w:space="0" w:color="auto"/>
        <w:bottom w:val="none" w:sz="0" w:space="0" w:color="auto"/>
        <w:right w:val="none" w:sz="0" w:space="0" w:color="auto"/>
      </w:divBdr>
      <w:divsChild>
        <w:div w:id="579943454">
          <w:marLeft w:val="547"/>
          <w:marRight w:val="0"/>
          <w:marTop w:val="0"/>
          <w:marBottom w:val="0"/>
          <w:divBdr>
            <w:top w:val="none" w:sz="0" w:space="0" w:color="auto"/>
            <w:left w:val="none" w:sz="0" w:space="0" w:color="auto"/>
            <w:bottom w:val="none" w:sz="0" w:space="0" w:color="auto"/>
            <w:right w:val="none" w:sz="0" w:space="0" w:color="auto"/>
          </w:divBdr>
        </w:div>
        <w:div w:id="951282572">
          <w:marLeft w:val="547"/>
          <w:marRight w:val="0"/>
          <w:marTop w:val="0"/>
          <w:marBottom w:val="0"/>
          <w:divBdr>
            <w:top w:val="none" w:sz="0" w:space="0" w:color="auto"/>
            <w:left w:val="none" w:sz="0" w:space="0" w:color="auto"/>
            <w:bottom w:val="none" w:sz="0" w:space="0" w:color="auto"/>
            <w:right w:val="none" w:sz="0" w:space="0" w:color="auto"/>
          </w:divBdr>
        </w:div>
        <w:div w:id="1201632537">
          <w:marLeft w:val="547"/>
          <w:marRight w:val="0"/>
          <w:marTop w:val="0"/>
          <w:marBottom w:val="0"/>
          <w:divBdr>
            <w:top w:val="none" w:sz="0" w:space="0" w:color="auto"/>
            <w:left w:val="none" w:sz="0" w:space="0" w:color="auto"/>
            <w:bottom w:val="none" w:sz="0" w:space="0" w:color="auto"/>
            <w:right w:val="none" w:sz="0" w:space="0" w:color="auto"/>
          </w:divBdr>
        </w:div>
        <w:div w:id="697849678">
          <w:marLeft w:val="547"/>
          <w:marRight w:val="0"/>
          <w:marTop w:val="0"/>
          <w:marBottom w:val="0"/>
          <w:divBdr>
            <w:top w:val="none" w:sz="0" w:space="0" w:color="auto"/>
            <w:left w:val="none" w:sz="0" w:space="0" w:color="auto"/>
            <w:bottom w:val="none" w:sz="0" w:space="0" w:color="auto"/>
            <w:right w:val="none" w:sz="0" w:space="0" w:color="auto"/>
          </w:divBdr>
        </w:div>
      </w:divsChild>
    </w:div>
    <w:div w:id="1730374572">
      <w:bodyDiv w:val="1"/>
      <w:marLeft w:val="0"/>
      <w:marRight w:val="0"/>
      <w:marTop w:val="0"/>
      <w:marBottom w:val="0"/>
      <w:divBdr>
        <w:top w:val="none" w:sz="0" w:space="0" w:color="auto"/>
        <w:left w:val="none" w:sz="0" w:space="0" w:color="auto"/>
        <w:bottom w:val="none" w:sz="0" w:space="0" w:color="auto"/>
        <w:right w:val="none" w:sz="0" w:space="0" w:color="auto"/>
      </w:divBdr>
    </w:div>
    <w:div w:id="1731878685">
      <w:bodyDiv w:val="1"/>
      <w:marLeft w:val="0"/>
      <w:marRight w:val="0"/>
      <w:marTop w:val="0"/>
      <w:marBottom w:val="0"/>
      <w:divBdr>
        <w:top w:val="none" w:sz="0" w:space="0" w:color="auto"/>
        <w:left w:val="none" w:sz="0" w:space="0" w:color="auto"/>
        <w:bottom w:val="none" w:sz="0" w:space="0" w:color="auto"/>
        <w:right w:val="none" w:sz="0" w:space="0" w:color="auto"/>
      </w:divBdr>
      <w:divsChild>
        <w:div w:id="436877586">
          <w:marLeft w:val="2160"/>
          <w:marRight w:val="0"/>
          <w:marTop w:val="0"/>
          <w:marBottom w:val="0"/>
          <w:divBdr>
            <w:top w:val="none" w:sz="0" w:space="0" w:color="auto"/>
            <w:left w:val="none" w:sz="0" w:space="0" w:color="auto"/>
            <w:bottom w:val="none" w:sz="0" w:space="0" w:color="auto"/>
            <w:right w:val="none" w:sz="0" w:space="0" w:color="auto"/>
          </w:divBdr>
        </w:div>
        <w:div w:id="453595075">
          <w:marLeft w:val="2160"/>
          <w:marRight w:val="0"/>
          <w:marTop w:val="0"/>
          <w:marBottom w:val="0"/>
          <w:divBdr>
            <w:top w:val="none" w:sz="0" w:space="0" w:color="auto"/>
            <w:left w:val="none" w:sz="0" w:space="0" w:color="auto"/>
            <w:bottom w:val="none" w:sz="0" w:space="0" w:color="auto"/>
            <w:right w:val="none" w:sz="0" w:space="0" w:color="auto"/>
          </w:divBdr>
        </w:div>
        <w:div w:id="1022780699">
          <w:marLeft w:val="2160"/>
          <w:marRight w:val="0"/>
          <w:marTop w:val="0"/>
          <w:marBottom w:val="0"/>
          <w:divBdr>
            <w:top w:val="none" w:sz="0" w:space="0" w:color="auto"/>
            <w:left w:val="none" w:sz="0" w:space="0" w:color="auto"/>
            <w:bottom w:val="none" w:sz="0" w:space="0" w:color="auto"/>
            <w:right w:val="none" w:sz="0" w:space="0" w:color="auto"/>
          </w:divBdr>
        </w:div>
      </w:divsChild>
    </w:div>
    <w:div w:id="1733235616">
      <w:bodyDiv w:val="1"/>
      <w:marLeft w:val="0"/>
      <w:marRight w:val="0"/>
      <w:marTop w:val="0"/>
      <w:marBottom w:val="0"/>
      <w:divBdr>
        <w:top w:val="none" w:sz="0" w:space="0" w:color="auto"/>
        <w:left w:val="none" w:sz="0" w:space="0" w:color="auto"/>
        <w:bottom w:val="none" w:sz="0" w:space="0" w:color="auto"/>
        <w:right w:val="none" w:sz="0" w:space="0" w:color="auto"/>
      </w:divBdr>
    </w:div>
    <w:div w:id="1757164386">
      <w:bodyDiv w:val="1"/>
      <w:marLeft w:val="0"/>
      <w:marRight w:val="0"/>
      <w:marTop w:val="0"/>
      <w:marBottom w:val="0"/>
      <w:divBdr>
        <w:top w:val="none" w:sz="0" w:space="0" w:color="auto"/>
        <w:left w:val="none" w:sz="0" w:space="0" w:color="auto"/>
        <w:bottom w:val="none" w:sz="0" w:space="0" w:color="auto"/>
        <w:right w:val="none" w:sz="0" w:space="0" w:color="auto"/>
      </w:divBdr>
    </w:div>
    <w:div w:id="1832452813">
      <w:bodyDiv w:val="1"/>
      <w:marLeft w:val="0"/>
      <w:marRight w:val="0"/>
      <w:marTop w:val="0"/>
      <w:marBottom w:val="0"/>
      <w:divBdr>
        <w:top w:val="none" w:sz="0" w:space="0" w:color="auto"/>
        <w:left w:val="none" w:sz="0" w:space="0" w:color="auto"/>
        <w:bottom w:val="none" w:sz="0" w:space="0" w:color="auto"/>
        <w:right w:val="none" w:sz="0" w:space="0" w:color="auto"/>
      </w:divBdr>
    </w:div>
    <w:div w:id="1899588133">
      <w:bodyDiv w:val="1"/>
      <w:marLeft w:val="0"/>
      <w:marRight w:val="0"/>
      <w:marTop w:val="0"/>
      <w:marBottom w:val="0"/>
      <w:divBdr>
        <w:top w:val="none" w:sz="0" w:space="0" w:color="auto"/>
        <w:left w:val="none" w:sz="0" w:space="0" w:color="auto"/>
        <w:bottom w:val="none" w:sz="0" w:space="0" w:color="auto"/>
        <w:right w:val="none" w:sz="0" w:space="0" w:color="auto"/>
      </w:divBdr>
    </w:div>
    <w:div w:id="1922986068">
      <w:bodyDiv w:val="1"/>
      <w:marLeft w:val="0"/>
      <w:marRight w:val="0"/>
      <w:marTop w:val="0"/>
      <w:marBottom w:val="0"/>
      <w:divBdr>
        <w:top w:val="none" w:sz="0" w:space="0" w:color="auto"/>
        <w:left w:val="none" w:sz="0" w:space="0" w:color="auto"/>
        <w:bottom w:val="none" w:sz="0" w:space="0" w:color="auto"/>
        <w:right w:val="none" w:sz="0" w:space="0" w:color="auto"/>
      </w:divBdr>
    </w:div>
    <w:div w:id="1961255779">
      <w:bodyDiv w:val="1"/>
      <w:marLeft w:val="0"/>
      <w:marRight w:val="0"/>
      <w:marTop w:val="0"/>
      <w:marBottom w:val="0"/>
      <w:divBdr>
        <w:top w:val="none" w:sz="0" w:space="0" w:color="auto"/>
        <w:left w:val="none" w:sz="0" w:space="0" w:color="auto"/>
        <w:bottom w:val="none" w:sz="0" w:space="0" w:color="auto"/>
        <w:right w:val="none" w:sz="0" w:space="0" w:color="auto"/>
      </w:divBdr>
    </w:div>
    <w:div w:id="1990666759">
      <w:bodyDiv w:val="1"/>
      <w:marLeft w:val="0"/>
      <w:marRight w:val="0"/>
      <w:marTop w:val="0"/>
      <w:marBottom w:val="0"/>
      <w:divBdr>
        <w:top w:val="none" w:sz="0" w:space="0" w:color="auto"/>
        <w:left w:val="none" w:sz="0" w:space="0" w:color="auto"/>
        <w:bottom w:val="none" w:sz="0" w:space="0" w:color="auto"/>
        <w:right w:val="none" w:sz="0" w:space="0" w:color="auto"/>
      </w:divBdr>
    </w:div>
    <w:div w:id="2014063500">
      <w:bodyDiv w:val="1"/>
      <w:marLeft w:val="0"/>
      <w:marRight w:val="0"/>
      <w:marTop w:val="0"/>
      <w:marBottom w:val="0"/>
      <w:divBdr>
        <w:top w:val="none" w:sz="0" w:space="0" w:color="auto"/>
        <w:left w:val="none" w:sz="0" w:space="0" w:color="auto"/>
        <w:bottom w:val="none" w:sz="0" w:space="0" w:color="auto"/>
        <w:right w:val="none" w:sz="0" w:space="0" w:color="auto"/>
      </w:divBdr>
    </w:div>
    <w:div w:id="2019500000">
      <w:bodyDiv w:val="1"/>
      <w:marLeft w:val="0"/>
      <w:marRight w:val="0"/>
      <w:marTop w:val="0"/>
      <w:marBottom w:val="0"/>
      <w:divBdr>
        <w:top w:val="none" w:sz="0" w:space="0" w:color="auto"/>
        <w:left w:val="none" w:sz="0" w:space="0" w:color="auto"/>
        <w:bottom w:val="none" w:sz="0" w:space="0" w:color="auto"/>
        <w:right w:val="none" w:sz="0" w:space="0" w:color="auto"/>
      </w:divBdr>
    </w:div>
    <w:div w:id="2032299487">
      <w:bodyDiv w:val="1"/>
      <w:marLeft w:val="0"/>
      <w:marRight w:val="0"/>
      <w:marTop w:val="0"/>
      <w:marBottom w:val="0"/>
      <w:divBdr>
        <w:top w:val="none" w:sz="0" w:space="0" w:color="auto"/>
        <w:left w:val="none" w:sz="0" w:space="0" w:color="auto"/>
        <w:bottom w:val="none" w:sz="0" w:space="0" w:color="auto"/>
        <w:right w:val="none" w:sz="0" w:space="0" w:color="auto"/>
      </w:divBdr>
    </w:div>
    <w:div w:id="2089421346">
      <w:bodyDiv w:val="1"/>
      <w:marLeft w:val="0"/>
      <w:marRight w:val="0"/>
      <w:marTop w:val="0"/>
      <w:marBottom w:val="0"/>
      <w:divBdr>
        <w:top w:val="none" w:sz="0" w:space="0" w:color="auto"/>
        <w:left w:val="none" w:sz="0" w:space="0" w:color="auto"/>
        <w:bottom w:val="none" w:sz="0" w:space="0" w:color="auto"/>
        <w:right w:val="none" w:sz="0" w:space="0" w:color="auto"/>
      </w:divBdr>
    </w:div>
    <w:div w:id="2097170237">
      <w:bodyDiv w:val="1"/>
      <w:marLeft w:val="0"/>
      <w:marRight w:val="0"/>
      <w:marTop w:val="0"/>
      <w:marBottom w:val="0"/>
      <w:divBdr>
        <w:top w:val="none" w:sz="0" w:space="0" w:color="auto"/>
        <w:left w:val="none" w:sz="0" w:space="0" w:color="auto"/>
        <w:bottom w:val="none" w:sz="0" w:space="0" w:color="auto"/>
        <w:right w:val="none" w:sz="0" w:space="0" w:color="auto"/>
      </w:divBdr>
    </w:div>
    <w:div w:id="2101561748">
      <w:bodyDiv w:val="1"/>
      <w:marLeft w:val="0"/>
      <w:marRight w:val="0"/>
      <w:marTop w:val="0"/>
      <w:marBottom w:val="0"/>
      <w:divBdr>
        <w:top w:val="none" w:sz="0" w:space="0" w:color="auto"/>
        <w:left w:val="none" w:sz="0" w:space="0" w:color="auto"/>
        <w:bottom w:val="none" w:sz="0" w:space="0" w:color="auto"/>
        <w:right w:val="none" w:sz="0" w:space="0" w:color="auto"/>
      </w:divBdr>
      <w:divsChild>
        <w:div w:id="510876508">
          <w:marLeft w:val="446"/>
          <w:marRight w:val="0"/>
          <w:marTop w:val="0"/>
          <w:marBottom w:val="0"/>
          <w:divBdr>
            <w:top w:val="none" w:sz="0" w:space="0" w:color="auto"/>
            <w:left w:val="none" w:sz="0" w:space="0" w:color="auto"/>
            <w:bottom w:val="none" w:sz="0" w:space="0" w:color="auto"/>
            <w:right w:val="none" w:sz="0" w:space="0" w:color="auto"/>
          </w:divBdr>
        </w:div>
        <w:div w:id="1139571988">
          <w:marLeft w:val="446"/>
          <w:marRight w:val="0"/>
          <w:marTop w:val="0"/>
          <w:marBottom w:val="0"/>
          <w:divBdr>
            <w:top w:val="none" w:sz="0" w:space="0" w:color="auto"/>
            <w:left w:val="none" w:sz="0" w:space="0" w:color="auto"/>
            <w:bottom w:val="none" w:sz="0" w:space="0" w:color="auto"/>
            <w:right w:val="none" w:sz="0" w:space="0" w:color="auto"/>
          </w:divBdr>
        </w:div>
        <w:div w:id="1801075671">
          <w:marLeft w:val="446"/>
          <w:marRight w:val="0"/>
          <w:marTop w:val="0"/>
          <w:marBottom w:val="0"/>
          <w:divBdr>
            <w:top w:val="none" w:sz="0" w:space="0" w:color="auto"/>
            <w:left w:val="none" w:sz="0" w:space="0" w:color="auto"/>
            <w:bottom w:val="none" w:sz="0" w:space="0" w:color="auto"/>
            <w:right w:val="none" w:sz="0" w:space="0" w:color="auto"/>
          </w:divBdr>
        </w:div>
      </w:divsChild>
    </w:div>
    <w:div w:id="2105757904">
      <w:bodyDiv w:val="1"/>
      <w:marLeft w:val="0"/>
      <w:marRight w:val="0"/>
      <w:marTop w:val="0"/>
      <w:marBottom w:val="0"/>
      <w:divBdr>
        <w:top w:val="none" w:sz="0" w:space="0" w:color="auto"/>
        <w:left w:val="none" w:sz="0" w:space="0" w:color="auto"/>
        <w:bottom w:val="none" w:sz="0" w:space="0" w:color="auto"/>
        <w:right w:val="none" w:sz="0" w:space="0" w:color="auto"/>
      </w:divBdr>
    </w:div>
    <w:div w:id="2122602610">
      <w:bodyDiv w:val="1"/>
      <w:marLeft w:val="0"/>
      <w:marRight w:val="0"/>
      <w:marTop w:val="0"/>
      <w:marBottom w:val="0"/>
      <w:divBdr>
        <w:top w:val="none" w:sz="0" w:space="0" w:color="auto"/>
        <w:left w:val="none" w:sz="0" w:space="0" w:color="auto"/>
        <w:bottom w:val="none" w:sz="0" w:space="0" w:color="auto"/>
        <w:right w:val="none" w:sz="0" w:space="0" w:color="auto"/>
      </w:divBdr>
    </w:div>
    <w:div w:id="2131241707">
      <w:bodyDiv w:val="1"/>
      <w:marLeft w:val="0"/>
      <w:marRight w:val="0"/>
      <w:marTop w:val="0"/>
      <w:marBottom w:val="0"/>
      <w:divBdr>
        <w:top w:val="none" w:sz="0" w:space="0" w:color="auto"/>
        <w:left w:val="none" w:sz="0" w:space="0" w:color="auto"/>
        <w:bottom w:val="none" w:sz="0" w:space="0" w:color="auto"/>
        <w:right w:val="none" w:sz="0" w:space="0" w:color="auto"/>
      </w:divBdr>
    </w:div>
    <w:div w:id="21451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hyperlink" Target="https://www.google.com.tr/url?sa=t&amp;rct=j&amp;q=&amp;esrc=s&amp;source=web&amp;cd=2&amp;cad=rja&amp;uact=8&amp;ved=0ahUKEwiLl-2G4unTAhXubZoKHeErANkQFggqMAE&amp;url=https%3A%2F%2Fwww.gtb.gov.tr%2Fkurumsal-haberler%2Falo-175-tuketici-sikayet-hatti-kapilarini-haberturke-acti&amp;usg=AFQjCNGhsUeXHsMbcgB7kH2et_OjkRp7gw&amp;sig2=tNa87sSgZBHbwuSRCVIGwg"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s://www.google.com.tr/url?sa=t&amp;rct=j&amp;q=&amp;esrc=s&amp;source=web&amp;cd=3&amp;cad=rja&amp;uact=8&amp;ved=0ahUKEwj1vKvp4enTAhXJE5oKHWQrD40QFggyMAI&amp;url=http%3A%2F%2Fwww.csb.gov.tr%2Fprojeler%2Falo181%2Findex.php%3FSayfa%3Dsikayet&amp;usg=AFQjCNENH2rq5ndHyv_3U-1dvq42tDIvyg&amp;sig2=HJM9NuMVyot6hLVnkibqO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https://www.google.com.tr/url?sa=t&amp;rct=j&amp;q=&amp;esrc=s&amp;source=web&amp;cd=2&amp;cad=rja&amp;uact=8&amp;ved=0ahUKEwiLoa704unTAhXpYpoKHf3QA4oQFgguMAE&amp;url=http%3A%2F%2Fwww.memurlar.net%2Fhaber%2F8789%2Fakdag-sabim-alo-184-hatti-yla-kime-sik-yet-edersen-et-zihniyeti-bitecek.html&amp;usg=AFQjCNHOHSTzKFcqrEJXQnaGkU3CRvzdOw&amp;sig2=Wnp8pSZ6HJBxSGhverbf7g"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hyperlink" Target="https://www.google.com.tr/url?sa=t&amp;rct=j&amp;q=&amp;esrc=s&amp;source=web&amp;cd=1&amp;cad=rja&amp;uact=8&amp;ved=0ahUKEwix6Nbf4unTAhWqK5oKHUQnCgcQFggiMAA&amp;url=http%3A%2F%2Fwww.tarim.gov.tr%2FKonu%2F1439%2FALO-174-Gida-Hatti&amp;usg=AFQjCNFIarfyf76ngsdY-214kkfHDlTOew&amp;sig2=UfCpyLt1NeYHAZIKn71tv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pgd%20raporu&#305;%20gelen%20g&#246;r&#252;&#351;er\3..GRAFIKLER%20(2019%20PGD%20RAPORU).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YILLIK%20RAPORLAMA\2019%20PGD%20Raporu\pgd%20raporu&#305;%20gelen%20g&#246;r&#252;&#351;er\3..GRAFIKLER%20(2019%20PGD%20RAPORU).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pgd%20raporu&#305;%20gelen%20g&#246;r&#252;&#351;er\3..GRAFIKLER%20(2019%20PGD%20RAPORU).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24.xml.rels><?xml version="1.0" encoding="UTF-8" standalone="yes"?>
<Relationships xmlns="http://schemas.openxmlformats.org/package/2006/relationships"><Relationship Id="rId2" Type="http://schemas.openxmlformats.org/officeDocument/2006/relationships/oleObject" Target="file:///\\fileserver2\Dosyalar3\dts\9-Kalite%20Altyap&#305;s&#305;%20ve%20Piyasa%20G&#246;zetimi%20Dairesi\02.PGD\PGD%20RAPORU\...YILLIK%20RAPORLAMA\2019%20PGD%20Raporu\pgd%20raporu&#305;%20gelen%20g&#246;r&#252;&#351;er\3..GRAFIKLER%20(2019%20PGD%20RAPORU).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server2\Dosyalar3\dts\9-Kalite%20Altyap&#305;s&#305;%20ve%20Piyasa%20G&#246;zetimi%20Dairesi\02.PGD\PGD%20RAPORU\...YILLIK%20RAPORLAMA\2019%20PGD%20Raporu\3..GRAFIKLER%20(2019%20PGD%20RAPOR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 1 -     GENEL GÖRÜNÜM</a:t>
            </a:r>
          </a:p>
        </c:rich>
      </c:tx>
      <c:layout/>
      <c:overlay val="0"/>
      <c:spPr>
        <a:noFill/>
        <a:ln>
          <a:noFill/>
        </a:ln>
        <a:effectLst/>
      </c:spPr>
    </c:title>
    <c:autoTitleDeleted val="0"/>
    <c:view3D>
      <c:rotX val="15"/>
      <c:rotY val="2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'1. g.görünüm'!$A$3</c:f>
              <c:strCache>
                <c:ptCount val="1"/>
                <c:pt idx="0">
                  <c:v>Fiili Denetim Elemanı Sayısı (1000 Kişi)*</c:v>
                </c:pt>
              </c:strCache>
            </c:strRef>
          </c:tx>
          <c:spPr>
            <a:solidFill>
              <a:schemeClr val="accent1">
                <a:alpha val="85000"/>
              </a:schemeClr>
            </a:solidFill>
            <a:ln>
              <a:noFill/>
            </a:ln>
            <a:effectLst>
              <a:innerShdw dist="12700" dir="16200000">
                <a:schemeClr val="lt1"/>
              </a:innerShdw>
            </a:effectLst>
            <a:sp3d/>
          </c:spPr>
          <c:dLbls>
            <c:dLbl>
              <c:idx val="0"/>
              <c:layout>
                <c:manualLayout>
                  <c:x val="-1.2636899747262044E-2"/>
                  <c:y val="-3.16678395496129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536-4E36-AFAD-23D458775B94}"/>
                </c:ext>
              </c:extLst>
            </c:dLbl>
            <c:dLbl>
              <c:idx val="1"/>
              <c:layout>
                <c:manualLayout>
                  <c:x val="2.7379949452400857E-2"/>
                  <c:y val="2.11118930330752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536-4E36-AFAD-23D458775B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'1. g.görünüm'!$B$2:$C$2</c:f>
              <c:numCache>
                <c:formatCode>General</c:formatCode>
                <c:ptCount val="2"/>
                <c:pt idx="0">
                  <c:v>2018</c:v>
                </c:pt>
                <c:pt idx="1">
                  <c:v>2019</c:v>
                </c:pt>
              </c:numCache>
            </c:numRef>
          </c:cat>
          <c:val>
            <c:numRef>
              <c:f>'1. g.görünüm'!$B$3:$C$3</c:f>
              <c:numCache>
                <c:formatCode>General</c:formatCode>
                <c:ptCount val="2"/>
                <c:pt idx="0">
                  <c:v>16.3</c:v>
                </c:pt>
                <c:pt idx="1">
                  <c:v>10.3</c:v>
                </c:pt>
              </c:numCache>
            </c:numRef>
          </c:val>
          <c:extLst>
            <c:ext xmlns:c16="http://schemas.microsoft.com/office/drawing/2014/chart" uri="{C3380CC4-5D6E-409C-BE32-E72D297353CC}">
              <c16:uniqueId val="{00000000-57C9-40CB-8C35-24F48B5691B3}"/>
            </c:ext>
          </c:extLst>
        </c:ser>
        <c:ser>
          <c:idx val="1"/>
          <c:order val="1"/>
          <c:tx>
            <c:strRef>
              <c:f>'1. g.görünüm'!$A$4</c:f>
              <c:strCache>
                <c:ptCount val="1"/>
                <c:pt idx="0">
                  <c:v>Tespit edilen uygunsuz /güvensiz ürün sayısı(Bin parti)</c:v>
                </c:pt>
              </c:strCache>
            </c:strRef>
          </c:tx>
          <c:spPr>
            <a:solidFill>
              <a:schemeClr val="accent2">
                <a:alpha val="85000"/>
              </a:schemeClr>
            </a:solidFill>
            <a:ln>
              <a:noFill/>
            </a:ln>
            <a:effectLst>
              <a:innerShdw dist="12700" dir="16200000">
                <a:schemeClr val="lt1"/>
              </a:innerShdw>
            </a:effectLst>
            <a:sp3d/>
          </c:spPr>
          <c:dLbls>
            <c:dLbl>
              <c:idx val="0"/>
              <c:layout>
                <c:manualLayout>
                  <c:x val="-2.1061499578770047E-2"/>
                  <c:y val="-2.46305418719212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536-4E36-AFAD-23D458775B94}"/>
                </c:ext>
              </c:extLst>
            </c:dLbl>
            <c:dLbl>
              <c:idx val="1"/>
              <c:layout>
                <c:manualLayout>
                  <c:x val="3.3698399326032011E-2"/>
                  <c:y val="2.46305418719211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536-4E36-AFAD-23D458775B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'1. g.görünüm'!$B$2:$C$2</c:f>
              <c:numCache>
                <c:formatCode>General</c:formatCode>
                <c:ptCount val="2"/>
                <c:pt idx="0">
                  <c:v>2018</c:v>
                </c:pt>
                <c:pt idx="1">
                  <c:v>2019</c:v>
                </c:pt>
              </c:numCache>
            </c:numRef>
          </c:cat>
          <c:val>
            <c:numRef>
              <c:f>'1. g.görünüm'!$B$4:$C$4</c:f>
              <c:numCache>
                <c:formatCode>General</c:formatCode>
                <c:ptCount val="2"/>
                <c:pt idx="0">
                  <c:v>34.700000000000003</c:v>
                </c:pt>
                <c:pt idx="1">
                  <c:v>31.2</c:v>
                </c:pt>
              </c:numCache>
            </c:numRef>
          </c:val>
          <c:extLst>
            <c:ext xmlns:c16="http://schemas.microsoft.com/office/drawing/2014/chart" uri="{C3380CC4-5D6E-409C-BE32-E72D297353CC}">
              <c16:uniqueId val="{00000001-57C9-40CB-8C35-24F48B5691B3}"/>
            </c:ext>
          </c:extLst>
        </c:ser>
        <c:ser>
          <c:idx val="2"/>
          <c:order val="2"/>
          <c:tx>
            <c:strRef>
              <c:f>'1. g.görünüm'!$A$5</c:f>
              <c:strCache>
                <c:ptCount val="1"/>
                <c:pt idx="0">
                  <c:v>PGD İçin Harcanan Kaynak (Milyon TL) </c:v>
                </c:pt>
              </c:strCache>
            </c:strRef>
          </c:tx>
          <c:spPr>
            <a:solidFill>
              <a:schemeClr val="accent3">
                <a:alpha val="85000"/>
              </a:schemeClr>
            </a:solidFill>
            <a:ln>
              <a:noFill/>
            </a:ln>
            <a:effectLst>
              <a:innerShdw dist="12700" dir="16200000">
                <a:schemeClr val="lt1"/>
              </a:innerShdw>
            </a:effectLst>
            <a:sp3d/>
          </c:spPr>
          <c:dLbls>
            <c:dLbl>
              <c:idx val="0"/>
              <c:layout>
                <c:manualLayout>
                  <c:x val="-4.2122999157540017E-2"/>
                  <c:y val="-2.11118930330752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536-4E36-AFAD-23D458775B94}"/>
                </c:ext>
              </c:extLst>
            </c:dLbl>
            <c:dLbl>
              <c:idx val="1"/>
              <c:layout>
                <c:manualLayout>
                  <c:x val="3.3698399326031858E-2"/>
                  <c:y val="2.11118930330752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536-4E36-AFAD-23D458775B9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'1. g.görünüm'!$B$2:$C$2</c:f>
              <c:numCache>
                <c:formatCode>General</c:formatCode>
                <c:ptCount val="2"/>
                <c:pt idx="0">
                  <c:v>2018</c:v>
                </c:pt>
                <c:pt idx="1">
                  <c:v>2019</c:v>
                </c:pt>
              </c:numCache>
            </c:numRef>
          </c:cat>
          <c:val>
            <c:numRef>
              <c:f>'1. g.görünüm'!$B$5:$C$5</c:f>
              <c:numCache>
                <c:formatCode>General</c:formatCode>
                <c:ptCount val="2"/>
                <c:pt idx="0">
                  <c:v>149.30000000000001</c:v>
                </c:pt>
                <c:pt idx="1">
                  <c:v>113</c:v>
                </c:pt>
              </c:numCache>
            </c:numRef>
          </c:val>
          <c:extLst>
            <c:ext xmlns:c16="http://schemas.microsoft.com/office/drawing/2014/chart" uri="{C3380CC4-5D6E-409C-BE32-E72D297353CC}">
              <c16:uniqueId val="{00000002-57C9-40CB-8C35-24F48B5691B3}"/>
            </c:ext>
          </c:extLst>
        </c:ser>
        <c:ser>
          <c:idx val="3"/>
          <c:order val="3"/>
          <c:tx>
            <c:strRef>
              <c:f>'1. g.görünüm'!$A$6</c:f>
              <c:strCache>
                <c:ptCount val="1"/>
                <c:pt idx="0">
                  <c:v>Toplam denetim (Bin Parti)</c:v>
                </c:pt>
              </c:strCache>
            </c:strRef>
          </c:tx>
          <c:spPr>
            <a:solidFill>
              <a:schemeClr val="accent4">
                <a:alpha val="85000"/>
              </a:schemeClr>
            </a:solidFill>
            <a:ln w="25400">
              <a:noFill/>
            </a:ln>
            <a:effectLst>
              <a:innerShdw dist="12700" dir="16200000">
                <a:schemeClr val="lt1"/>
              </a:innerShdw>
            </a:effectLst>
            <a:sp3d/>
          </c:spPr>
          <c:dLbls>
            <c:dLbl>
              <c:idx val="0"/>
              <c:layout>
                <c:manualLayout>
                  <c:x val="4.8367587571992833E-3"/>
                  <c:y val="-0.1322081575246132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7C9-40CB-8C35-24F48B5691B3}"/>
                </c:ext>
              </c:extLst>
            </c:dLbl>
            <c:dLbl>
              <c:idx val="1"/>
              <c:layout>
                <c:manualLayout>
                  <c:x val="5.4527061539380028E-2"/>
                  <c:y val="-7.94679913779250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7C9-40CB-8C35-24F48B5691B3}"/>
                </c:ext>
              </c:extLst>
            </c:dLbl>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numRef>
              <c:f>'1. g.görünüm'!$B$2:$C$2</c:f>
              <c:numCache>
                <c:formatCode>General</c:formatCode>
                <c:ptCount val="2"/>
                <c:pt idx="0">
                  <c:v>2018</c:v>
                </c:pt>
                <c:pt idx="1">
                  <c:v>2019</c:v>
                </c:pt>
              </c:numCache>
            </c:numRef>
          </c:cat>
          <c:val>
            <c:numRef>
              <c:f>'1. g.görünüm'!$B$6:$C$6</c:f>
              <c:numCache>
                <c:formatCode>General</c:formatCode>
                <c:ptCount val="2"/>
                <c:pt idx="0">
                  <c:v>240.9</c:v>
                </c:pt>
                <c:pt idx="1">
                  <c:v>267.5</c:v>
                </c:pt>
              </c:numCache>
            </c:numRef>
          </c:val>
          <c:extLst>
            <c:ext xmlns:c16="http://schemas.microsoft.com/office/drawing/2014/chart" uri="{C3380CC4-5D6E-409C-BE32-E72D297353CC}">
              <c16:uniqueId val="{00000005-57C9-40CB-8C35-24F48B5691B3}"/>
            </c:ext>
          </c:extLst>
        </c:ser>
        <c:dLbls>
          <c:showLegendKey val="0"/>
          <c:showVal val="0"/>
          <c:showCatName val="0"/>
          <c:showSerName val="0"/>
          <c:showPercent val="0"/>
          <c:showBubbleSize val="0"/>
        </c:dLbls>
        <c:axId val="192647936"/>
        <c:axId val="192649472"/>
        <c:axId val="188040064"/>
      </c:area3DChart>
      <c:catAx>
        <c:axId val="19264793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50" b="1" i="0" u="none" strike="noStrike" kern="1200" cap="all" baseline="0">
                <a:solidFill>
                  <a:schemeClr val="tx1"/>
                </a:solidFill>
                <a:latin typeface="+mn-lt"/>
                <a:ea typeface="+mn-ea"/>
                <a:cs typeface="+mn-cs"/>
              </a:defRPr>
            </a:pPr>
            <a:endParaRPr lang="tr-TR"/>
          </a:p>
        </c:txPr>
        <c:crossAx val="192649472"/>
        <c:crosses val="autoZero"/>
        <c:auto val="1"/>
        <c:lblAlgn val="ctr"/>
        <c:lblOffset val="100"/>
        <c:noMultiLvlLbl val="0"/>
      </c:catAx>
      <c:valAx>
        <c:axId val="192649472"/>
        <c:scaling>
          <c:orientation val="minMax"/>
        </c:scaling>
        <c:delete val="0"/>
        <c:axPos val="l"/>
        <c:majorGridlines>
          <c:spPr>
            <a:ln w="6350" cap="flat" cmpd="sng" algn="ctr">
              <a:solidFill>
                <a:schemeClr val="dk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92647936"/>
        <c:crosses val="autoZero"/>
        <c:crossBetween val="midCat"/>
      </c:valAx>
      <c:serAx>
        <c:axId val="188040064"/>
        <c:scaling>
          <c:orientation val="minMax"/>
        </c:scaling>
        <c:delete val="1"/>
        <c:axPos val="b"/>
        <c:majorTickMark val="out"/>
        <c:minorTickMark val="none"/>
        <c:tickLblPos val="nextTo"/>
        <c:crossAx val="192649472"/>
        <c:crosses val="autoZero"/>
      </c:ser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Grafik-10 Uygunsuzluk Tespitinin En Yüksek ve En Düşük Olduğu Ürün Grupları</a:t>
            </a:r>
            <a:endParaRPr lang="tr-TR">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Pt>
            <c:idx val="3"/>
            <c:invertIfNegative val="0"/>
            <c:bubble3D val="0"/>
            <c:spPr>
              <a:solidFill>
                <a:schemeClr val="accent2"/>
              </a:soli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1-AC66-4EEF-89BA-E6417B81934D}"/>
              </c:ext>
            </c:extLst>
          </c:dPt>
          <c:dPt>
            <c:idx val="4"/>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3-AC66-4EEF-89BA-E6417B81934D}"/>
              </c:ext>
            </c:extLst>
          </c:dPt>
          <c:dPt>
            <c:idx val="5"/>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5-AC66-4EEF-89BA-E6417B81934D}"/>
              </c:ext>
            </c:extLst>
          </c:dPt>
          <c:dPt>
            <c:idx val="6"/>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7-AC66-4EEF-89BA-E6417B81934D}"/>
              </c:ext>
            </c:extLst>
          </c:dPt>
          <c:dPt>
            <c:idx val="7"/>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9-AC66-4EEF-89BA-E6417B81934D}"/>
              </c:ext>
            </c:extLst>
          </c:dPt>
          <c:dPt>
            <c:idx val="8"/>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B-AC66-4EEF-89BA-E6417B81934D}"/>
              </c:ext>
            </c:extLst>
          </c:dPt>
          <c:dPt>
            <c:idx val="9"/>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D-AC66-4EEF-89BA-E6417B81934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uygsuz!$A$6:$A$25</c:f>
              <c:strCache>
                <c:ptCount val="20"/>
                <c:pt idx="0">
                  <c:v>AERESOL KAPLAR</c:v>
                </c:pt>
                <c:pt idx="1">
                  <c:v>SİVİL PATLAYICILAR</c:v>
                </c:pt>
                <c:pt idx="2">
                  <c:v>SİGARA</c:v>
                </c:pt>
                <c:pt idx="3">
                  <c:v>SARMALIK KIYILMIŞ TÜTÜN MAMULÜ</c:v>
                </c:pt>
                <c:pt idx="4">
                  <c:v>DİŞ FIRÇALARI</c:v>
                </c:pt>
                <c:pt idx="5">
                  <c:v>KAĞIT ÜRÜNLERİ</c:v>
                </c:pt>
                <c:pt idx="6">
                  <c:v>TELEFERİK </c:v>
                </c:pt>
                <c:pt idx="7">
                  <c:v>ZORUNLU STANDART-DÜZENLENMEMİŞ ALAN</c:v>
                </c:pt>
                <c:pt idx="8">
                  <c:v>HAVA AROMATİZE EDİCİ ÜRÜNLER</c:v>
                </c:pt>
                <c:pt idx="9">
                  <c:v>DİĞER TÜKETİCİ ÜRÜNLERİ</c:v>
                </c:pt>
                <c:pt idx="10">
                  <c:v>BİYOSİDAL ÜRÜNLER </c:v>
                </c:pt>
                <c:pt idx="11">
                  <c:v>TELSİZ VE/VEYA TELEKOMÜNİKASYON TERMİNAL EKİPMANLARI</c:v>
                </c:pt>
                <c:pt idx="12">
                  <c:v>KOZMETİKLER</c:v>
                </c:pt>
                <c:pt idx="13">
                  <c:v>ENERJİ VERİMLİLİĞİ</c:v>
                </c:pt>
                <c:pt idx="14">
                  <c:v>MAKİNELER</c:v>
                </c:pt>
                <c:pt idx="15">
                  <c:v>ELEKTRİKLİ EKİPMANLAR</c:v>
                </c:pt>
                <c:pt idx="16">
                  <c:v>ASANSÖR</c:v>
                </c:pt>
                <c:pt idx="17">
                  <c:v>HAZIR BETON DIŞINDAKİ 
YAPI MALZEMELERİ</c:v>
                </c:pt>
                <c:pt idx="18">
                  <c:v>GIDA</c:v>
                </c:pt>
                <c:pt idx="19">
                  <c:v>TAŞINABİLİR BASINÇLI EKİPMANLAR </c:v>
                </c:pt>
              </c:strCache>
            </c:strRef>
          </c:cat>
          <c:val>
            <c:numRef>
              <c:f>uygsuz!$B$6:$B$25</c:f>
              <c:numCache>
                <c:formatCode>General</c:formatCode>
                <c:ptCount val="20"/>
                <c:pt idx="0" formatCode="0">
                  <c:v>0</c:v>
                </c:pt>
                <c:pt idx="1">
                  <c:v>0</c:v>
                </c:pt>
                <c:pt idx="2">
                  <c:v>0</c:v>
                </c:pt>
                <c:pt idx="3">
                  <c:v>0</c:v>
                </c:pt>
                <c:pt idx="4" formatCode="0">
                  <c:v>0</c:v>
                </c:pt>
                <c:pt idx="5" formatCode="0">
                  <c:v>0</c:v>
                </c:pt>
                <c:pt idx="6" formatCode="0">
                  <c:v>2</c:v>
                </c:pt>
                <c:pt idx="7" formatCode="0">
                  <c:v>2</c:v>
                </c:pt>
                <c:pt idx="8" formatCode="0">
                  <c:v>5</c:v>
                </c:pt>
                <c:pt idx="9" formatCode="0">
                  <c:v>7</c:v>
                </c:pt>
                <c:pt idx="10" formatCode="0">
                  <c:v>465</c:v>
                </c:pt>
                <c:pt idx="11" formatCode="0">
                  <c:v>707</c:v>
                </c:pt>
                <c:pt idx="12" formatCode="0">
                  <c:v>801</c:v>
                </c:pt>
                <c:pt idx="13" formatCode="0">
                  <c:v>1190</c:v>
                </c:pt>
                <c:pt idx="14" formatCode="0">
                  <c:v>1387</c:v>
                </c:pt>
                <c:pt idx="15" formatCode="0">
                  <c:v>2502</c:v>
                </c:pt>
                <c:pt idx="16" formatCode="0">
                  <c:v>2554</c:v>
                </c:pt>
                <c:pt idx="17" formatCode="0">
                  <c:v>2706</c:v>
                </c:pt>
                <c:pt idx="18" formatCode="0">
                  <c:v>4305</c:v>
                </c:pt>
                <c:pt idx="19" formatCode="0">
                  <c:v>10402</c:v>
                </c:pt>
              </c:numCache>
            </c:numRef>
          </c:val>
          <c:extLst>
            <c:ext xmlns:c16="http://schemas.microsoft.com/office/drawing/2014/chart" uri="{C3380CC4-5D6E-409C-BE32-E72D297353CC}">
              <c16:uniqueId val="{0000000E-AC66-4EEF-89BA-E6417B81934D}"/>
            </c:ext>
          </c:extLst>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uygsuz!#REF!</c:f>
            </c:multiLvlStrRef>
          </c:cat>
          <c:val>
            <c:numRef>
              <c:f>uygsuz!#REF!</c:f>
              <c:numCache>
                <c:formatCode>General</c:formatCode>
                <c:ptCount val="1"/>
                <c:pt idx="0">
                  <c:v>1</c:v>
                </c:pt>
              </c:numCache>
            </c:numRef>
          </c:val>
          <c:extLst>
            <c:ext xmlns:c16="http://schemas.microsoft.com/office/drawing/2014/chart" uri="{C3380CC4-5D6E-409C-BE32-E72D297353CC}">
              <c16:uniqueId val="{0000000F-AC66-4EEF-89BA-E6417B81934D}"/>
            </c:ext>
          </c:extLst>
        </c:ser>
        <c:dLbls>
          <c:showLegendKey val="0"/>
          <c:showVal val="1"/>
          <c:showCatName val="0"/>
          <c:showSerName val="0"/>
          <c:showPercent val="0"/>
          <c:showBubbleSize val="0"/>
        </c:dLbls>
        <c:gapWidth val="65"/>
        <c:axId val="206886784"/>
        <c:axId val="206888320"/>
      </c:barChart>
      <c:catAx>
        <c:axId val="2068867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06888320"/>
        <c:crosses val="autoZero"/>
        <c:auto val="1"/>
        <c:lblAlgn val="ctr"/>
        <c:lblOffset val="100"/>
        <c:noMultiLvlLbl val="0"/>
      </c:catAx>
      <c:valAx>
        <c:axId val="20688832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068867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Grafik-11 Güvensizlik Tespitinin En Yüksek ve En Düşük Olduğu Ürün Grupları</a:t>
            </a:r>
            <a:endParaRPr lang="tr-TR">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Pt>
            <c:idx val="3"/>
            <c:invertIfNegative val="0"/>
            <c:bubble3D val="0"/>
            <c:spPr>
              <a:solidFill>
                <a:schemeClr val="accent2"/>
              </a:soli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1-0A8F-4B8A-A7F6-79EE1589EA21}"/>
              </c:ext>
            </c:extLst>
          </c:dPt>
          <c:dPt>
            <c:idx val="4"/>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3-0A8F-4B8A-A7F6-79EE1589EA21}"/>
              </c:ext>
            </c:extLst>
          </c:dPt>
          <c:dPt>
            <c:idx val="5"/>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5-0A8F-4B8A-A7F6-79EE1589EA21}"/>
              </c:ext>
            </c:extLst>
          </c:dPt>
          <c:dPt>
            <c:idx val="6"/>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7-0A8F-4B8A-A7F6-79EE1589EA21}"/>
              </c:ext>
            </c:extLst>
          </c:dPt>
          <c:dPt>
            <c:idx val="7"/>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9-0A8F-4B8A-A7F6-79EE1589EA21}"/>
              </c:ext>
            </c:extLst>
          </c:dPt>
          <c:dPt>
            <c:idx val="8"/>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B-0A8F-4B8A-A7F6-79EE1589EA21}"/>
              </c:ext>
            </c:extLst>
          </c:dPt>
          <c:dPt>
            <c:idx val="9"/>
            <c:invertIfNegative val="0"/>
            <c:bubble3D val="0"/>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2700000" scaled="1"/>
                <a:tileRect/>
              </a:gradFill>
              <a:ln w="9525" cap="flat" cmpd="sng" algn="ctr">
                <a:solidFill>
                  <a:srgbClr val="C00000"/>
                </a:solidFill>
                <a:round/>
              </a:ln>
              <a:effectLst/>
              <a:scene3d>
                <a:camera prst="orthographicFront"/>
                <a:lightRig rig="threePt" dir="t"/>
              </a:scene3d>
              <a:sp3d>
                <a:bevelT w="190500" h="38100"/>
              </a:sp3d>
            </c:spPr>
            <c:extLst>
              <c:ext xmlns:c16="http://schemas.microsoft.com/office/drawing/2014/chart" uri="{C3380CC4-5D6E-409C-BE32-E72D297353CC}">
                <c16:uniqueId val="{0000000D-0A8F-4B8A-A7F6-79EE1589EA2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güvsiz!$A$6:$A$25</c:f>
              <c:strCache>
                <c:ptCount val="20"/>
                <c:pt idx="0">
                  <c:v>YEM</c:v>
                </c:pt>
                <c:pt idx="1">
                  <c:v>DETERJANLAR</c:v>
                </c:pt>
                <c:pt idx="2">
                  <c:v>DİŞ FIRÇALARI</c:v>
                </c:pt>
                <c:pt idx="3">
                  <c:v>HAVA AROMATİZE EDİCİ ÜRÜNLER</c:v>
                </c:pt>
                <c:pt idx="4">
                  <c:v>KAĞIT ÜRÜNLERİ</c:v>
                </c:pt>
                <c:pt idx="5">
                  <c:v>GEZİ TEKNELERİ</c:v>
                </c:pt>
                <c:pt idx="6">
                  <c:v>Piroteknik Ürünler</c:v>
                </c:pt>
                <c:pt idx="7">
                  <c:v>SİVİL PATLAYICILAR</c:v>
                </c:pt>
                <c:pt idx="8">
                  <c:v>TELEFERİK </c:v>
                </c:pt>
                <c:pt idx="9">
                  <c:v>ZORUNLU STANDART-DÜZENLENMEMİŞ ALAN</c:v>
                </c:pt>
                <c:pt idx="10">
                  <c:v>OYUNCAKLAR</c:v>
                </c:pt>
                <c:pt idx="11">
                  <c:v>KIRTASİYE </c:v>
                </c:pt>
                <c:pt idx="12">
                  <c:v>TEKSTİL</c:v>
                </c:pt>
                <c:pt idx="13">
                  <c:v>HAZIR BETON DIŞINDAKİ 
YAPI MALZEMELERİ</c:v>
                </c:pt>
                <c:pt idx="14">
                  <c:v>BİYOSİDAL ÜRÜNLER </c:v>
                </c:pt>
                <c:pt idx="15">
                  <c:v>KOZMETİKLER</c:v>
                </c:pt>
                <c:pt idx="16">
                  <c:v>TAŞINABİLİR BASINÇLI EKİPMANLAR </c:v>
                </c:pt>
                <c:pt idx="17">
                  <c:v>ELEKTRİKLİ EKİPMANLAR</c:v>
                </c:pt>
                <c:pt idx="18">
                  <c:v>HAZIR BETON</c:v>
                </c:pt>
                <c:pt idx="19">
                  <c:v>GIDA</c:v>
                </c:pt>
              </c:strCache>
            </c:strRef>
          </c:cat>
          <c:val>
            <c:numRef>
              <c:f>güvsiz!$B$6:$B$25</c:f>
              <c:numCache>
                <c:formatCode>0</c:formatCode>
                <c:ptCount val="20"/>
                <c:pt idx="0">
                  <c:v>0</c:v>
                </c:pt>
                <c:pt idx="1">
                  <c:v>0</c:v>
                </c:pt>
                <c:pt idx="2" formatCode="General">
                  <c:v>0</c:v>
                </c:pt>
                <c:pt idx="3" formatCode="General">
                  <c:v>0</c:v>
                </c:pt>
                <c:pt idx="4" formatCode="General">
                  <c:v>0</c:v>
                </c:pt>
                <c:pt idx="5">
                  <c:v>0</c:v>
                </c:pt>
                <c:pt idx="6">
                  <c:v>0</c:v>
                </c:pt>
                <c:pt idx="7">
                  <c:v>0</c:v>
                </c:pt>
                <c:pt idx="8">
                  <c:v>0</c:v>
                </c:pt>
                <c:pt idx="9">
                  <c:v>0</c:v>
                </c:pt>
                <c:pt idx="10">
                  <c:v>13</c:v>
                </c:pt>
                <c:pt idx="11" formatCode="General">
                  <c:v>14</c:v>
                </c:pt>
                <c:pt idx="12">
                  <c:v>18</c:v>
                </c:pt>
                <c:pt idx="13">
                  <c:v>27</c:v>
                </c:pt>
                <c:pt idx="14">
                  <c:v>36</c:v>
                </c:pt>
                <c:pt idx="15">
                  <c:v>38</c:v>
                </c:pt>
                <c:pt idx="16">
                  <c:v>39</c:v>
                </c:pt>
                <c:pt idx="17" formatCode="General">
                  <c:v>68</c:v>
                </c:pt>
                <c:pt idx="18">
                  <c:v>269</c:v>
                </c:pt>
                <c:pt idx="19" formatCode="General">
                  <c:v>1211</c:v>
                </c:pt>
              </c:numCache>
            </c:numRef>
          </c:val>
          <c:extLst>
            <c:ext xmlns:c16="http://schemas.microsoft.com/office/drawing/2014/chart" uri="{C3380CC4-5D6E-409C-BE32-E72D297353CC}">
              <c16:uniqueId val="{0000000E-0A8F-4B8A-A7F6-79EE1589EA21}"/>
            </c:ext>
          </c:extLst>
        </c:ser>
        <c:ser>
          <c:idx val="1"/>
          <c:order val="1"/>
          <c:invertIfNegative val="0"/>
          <c:dLbls>
            <c:delete val="1"/>
          </c:dLbls>
          <c:cat>
            <c:multiLvlStrRef>
              <c:f>uygsuz!#REF!</c:f>
            </c:multiLvlStrRef>
          </c:cat>
          <c:val>
            <c:numRef>
              <c:f>uygsuz!#REF!</c:f>
              <c:numCache>
                <c:formatCode>General</c:formatCode>
                <c:ptCount val="1"/>
                <c:pt idx="0">
                  <c:v>1</c:v>
                </c:pt>
              </c:numCache>
            </c:numRef>
          </c:val>
          <c:extLst>
            <c:ext xmlns:c16="http://schemas.microsoft.com/office/drawing/2014/chart" uri="{C3380CC4-5D6E-409C-BE32-E72D297353CC}">
              <c16:uniqueId val="{0000000F-0A8F-4B8A-A7F6-79EE1589EA21}"/>
            </c:ext>
          </c:extLst>
        </c:ser>
        <c:dLbls>
          <c:showLegendKey val="0"/>
          <c:showVal val="1"/>
          <c:showCatName val="0"/>
          <c:showSerName val="0"/>
          <c:showPercent val="0"/>
          <c:showBubbleSize val="0"/>
        </c:dLbls>
        <c:gapWidth val="65"/>
        <c:axId val="206756864"/>
        <c:axId val="207028992"/>
      </c:barChart>
      <c:catAx>
        <c:axId val="2067568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07028992"/>
        <c:crosses val="autoZero"/>
        <c:auto val="1"/>
        <c:lblAlgn val="ctr"/>
        <c:lblOffset val="100"/>
        <c:noMultiLvlLbl val="0"/>
      </c:catAx>
      <c:valAx>
        <c:axId val="2070289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067568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Grafik-12 Uygunsuz Ürünlerin  Denetimlerdeki Payı (%)</a:t>
            </a:r>
          </a:p>
        </c:rich>
      </c:tx>
      <c:layout/>
      <c:overlay val="0"/>
      <c:spPr>
        <a:noFill/>
        <a:ln>
          <a:noFill/>
        </a:ln>
        <a:effectLst/>
      </c:spPr>
    </c:title>
    <c:autoTitleDeleted val="0"/>
    <c:plotArea>
      <c:layout/>
      <c:barChart>
        <c:barDir val="col"/>
        <c:grouping val="clustered"/>
        <c:varyColors val="0"/>
        <c:ser>
          <c:idx val="0"/>
          <c:order val="0"/>
          <c:tx>
            <c:strRef>
              <c:f>'13 Uygunsuz ürünler '!$B$21</c:f>
              <c:strCache>
                <c:ptCount val="1"/>
                <c:pt idx="0">
                  <c:v>2018</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'13 Uygunsuz ürünler '!$A$22:$A$29</c:f>
              <c:strCache>
                <c:ptCount val="8"/>
                <c:pt idx="0">
                  <c:v>STB</c:v>
                </c:pt>
                <c:pt idx="1">
                  <c:v>AÇSHB</c:v>
                </c:pt>
                <c:pt idx="2">
                  <c:v>ÇŞB</c:v>
                </c:pt>
                <c:pt idx="3">
                  <c:v>TOB</c:v>
                </c:pt>
                <c:pt idx="4">
                  <c:v>TKPGGM</c:v>
                </c:pt>
                <c:pt idx="5">
                  <c:v>SB</c:v>
                </c:pt>
                <c:pt idx="6">
                  <c:v>UAB</c:v>
                </c:pt>
                <c:pt idx="7">
                  <c:v>BTK</c:v>
                </c:pt>
              </c:strCache>
            </c:strRef>
          </c:cat>
          <c:val>
            <c:numRef>
              <c:f>'13 Uygunsuz ürünler '!$B$22:$B$29</c:f>
              <c:numCache>
                <c:formatCode>0.0</c:formatCode>
                <c:ptCount val="8"/>
                <c:pt idx="0">
                  <c:v>32.450321275583029</c:v>
                </c:pt>
                <c:pt idx="1">
                  <c:v>21.635883905013191</c:v>
                </c:pt>
                <c:pt idx="2">
                  <c:v>20.707409894783947</c:v>
                </c:pt>
                <c:pt idx="3">
                  <c:v>5.4837830471518121</c:v>
                </c:pt>
                <c:pt idx="4">
                  <c:v>38.533114395183361</c:v>
                </c:pt>
                <c:pt idx="5">
                  <c:v>3.3897436773168939</c:v>
                </c:pt>
                <c:pt idx="6">
                  <c:v>5.5555555555555483</c:v>
                </c:pt>
                <c:pt idx="7">
                  <c:v>29.195630585898709</c:v>
                </c:pt>
              </c:numCache>
            </c:numRef>
          </c:val>
          <c:extLst>
            <c:ext xmlns:c16="http://schemas.microsoft.com/office/drawing/2014/chart" uri="{C3380CC4-5D6E-409C-BE32-E72D297353CC}">
              <c16:uniqueId val="{00000000-A931-49FC-8613-B594E2EF6F1E}"/>
            </c:ext>
          </c:extLst>
        </c:ser>
        <c:ser>
          <c:idx val="1"/>
          <c:order val="1"/>
          <c:tx>
            <c:strRef>
              <c:f>'13 Uygunsuz ürünler '!$C$21</c:f>
              <c:strCache>
                <c:ptCount val="1"/>
                <c:pt idx="0">
                  <c:v>2019</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'13 Uygunsuz ürünler '!$A$22:$A$29</c:f>
              <c:strCache>
                <c:ptCount val="8"/>
                <c:pt idx="0">
                  <c:v>STB</c:v>
                </c:pt>
                <c:pt idx="1">
                  <c:v>AÇSHB</c:v>
                </c:pt>
                <c:pt idx="2">
                  <c:v>ÇŞB</c:v>
                </c:pt>
                <c:pt idx="3">
                  <c:v>TOB</c:v>
                </c:pt>
                <c:pt idx="4">
                  <c:v>TKPGGM</c:v>
                </c:pt>
                <c:pt idx="5">
                  <c:v>SB</c:v>
                </c:pt>
                <c:pt idx="6">
                  <c:v>UAB</c:v>
                </c:pt>
                <c:pt idx="7">
                  <c:v>BTK</c:v>
                </c:pt>
              </c:strCache>
            </c:strRef>
          </c:cat>
          <c:val>
            <c:numRef>
              <c:f>'13 Uygunsuz ürünler '!$C$22:$C$29</c:f>
              <c:numCache>
                <c:formatCode>0.0</c:formatCode>
                <c:ptCount val="8"/>
                <c:pt idx="0">
                  <c:v>25.741291887125179</c:v>
                </c:pt>
                <c:pt idx="1">
                  <c:v>19.053254437869825</c:v>
                </c:pt>
                <c:pt idx="2">
                  <c:v>21.237905716050257</c:v>
                </c:pt>
                <c:pt idx="3">
                  <c:v>4.200202083551102</c:v>
                </c:pt>
                <c:pt idx="4">
                  <c:v>17.94489947877884</c:v>
                </c:pt>
                <c:pt idx="5">
                  <c:v>2.4649754528815082</c:v>
                </c:pt>
                <c:pt idx="6">
                  <c:v>3.1630170316301722</c:v>
                </c:pt>
                <c:pt idx="7">
                  <c:v>21.820987654320987</c:v>
                </c:pt>
              </c:numCache>
            </c:numRef>
          </c:val>
          <c:extLst>
            <c:ext xmlns:c16="http://schemas.microsoft.com/office/drawing/2014/chart" uri="{C3380CC4-5D6E-409C-BE32-E72D297353CC}">
              <c16:uniqueId val="{00000001-A931-49FC-8613-B594E2EF6F1E}"/>
            </c:ext>
          </c:extLst>
        </c:ser>
        <c:dLbls>
          <c:showLegendKey val="0"/>
          <c:showVal val="1"/>
          <c:showCatName val="0"/>
          <c:showSerName val="0"/>
          <c:showPercent val="0"/>
          <c:showBubbleSize val="0"/>
        </c:dLbls>
        <c:gapWidth val="65"/>
        <c:axId val="207075200"/>
        <c:axId val="207076736"/>
      </c:barChart>
      <c:catAx>
        <c:axId val="2070752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07076736"/>
        <c:crosses val="autoZero"/>
        <c:auto val="1"/>
        <c:lblAlgn val="ctr"/>
        <c:lblOffset val="100"/>
        <c:noMultiLvlLbl val="0"/>
      </c:catAx>
      <c:valAx>
        <c:axId val="2070767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20707520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Grafik-13 İthal Ürünlere İlişkin Denetim Sonuçları</a:t>
            </a:r>
          </a:p>
        </c:rich>
      </c:tx>
      <c:layout/>
      <c:overlay val="0"/>
      <c:spPr>
        <a:noFill/>
        <a:ln>
          <a:noFill/>
        </a:ln>
        <a:effectLst/>
      </c:spPr>
    </c:title>
    <c:autoTitleDeleted val="0"/>
    <c:plotArea>
      <c:layout/>
      <c:ofPieChart>
        <c:ofPieType val="pie"/>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69F-4CB5-8D00-FAAA94D9F2C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69F-4CB5-8D00-FAAA94D9F2C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69F-4CB5-8D00-FAAA94D9F2C0}"/>
              </c:ext>
            </c:extLst>
          </c:dPt>
          <c:dPt>
            <c:idx val="3"/>
            <c:bubble3D val="0"/>
            <c:explosion val="13"/>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69F-4CB5-8D00-FAAA94D9F2C0}"/>
              </c:ext>
            </c:extLst>
          </c:dPt>
          <c:dPt>
            <c:idx val="4"/>
            <c:bubble3D val="0"/>
            <c:explosion val="12"/>
            <c:spPr>
              <a:solidFill>
                <a:srgbClr val="AF423F"/>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69F-4CB5-8D00-FAAA94D9F2C0}"/>
              </c:ext>
            </c:extLst>
          </c:dPt>
          <c:dLbls>
            <c:dLbl>
              <c:idx val="1"/>
              <c:delete val="1"/>
              <c:extLst>
                <c:ext xmlns:c15="http://schemas.microsoft.com/office/drawing/2012/chart" uri="{CE6537A1-D6FC-4f65-9D91-7224C49458BB}"/>
                <c:ext xmlns:c16="http://schemas.microsoft.com/office/drawing/2014/chart" uri="{C3380CC4-5D6E-409C-BE32-E72D297353CC}">
                  <c16:uniqueId val="{00000003-069F-4CB5-8D00-FAAA94D9F2C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'14 İthal ürünlere ilişkin denet'!$B$3:$E$3</c:f>
              <c:strCache>
                <c:ptCount val="4"/>
                <c:pt idx="0">
                  <c:v>Denetlenen Yerli Ürün Sayısı</c:v>
                </c:pt>
                <c:pt idx="1">
                  <c:v>Denetlenen İthal Ürün Sayısı</c:v>
                </c:pt>
                <c:pt idx="2">
                  <c:v>Uygun Bulunan İthal Ürünler</c:v>
                </c:pt>
                <c:pt idx="3">
                  <c:v>Uygunsuz ve Güvensiz Bulunan İthal Ürünler</c:v>
                </c:pt>
              </c:strCache>
            </c:strRef>
          </c:cat>
          <c:val>
            <c:numRef>
              <c:f>'14 İthal ürünlere ilişkin denet'!$B$5:$E$5</c:f>
              <c:numCache>
                <c:formatCode>General</c:formatCode>
                <c:ptCount val="4"/>
                <c:pt idx="0" formatCode="#,##0">
                  <c:v>185530</c:v>
                </c:pt>
                <c:pt idx="2" formatCode="#,##0">
                  <c:v>76806</c:v>
                </c:pt>
                <c:pt idx="3" formatCode="#,##0">
                  <c:v>5258</c:v>
                </c:pt>
              </c:numCache>
            </c:numRef>
          </c:val>
          <c:extLst>
            <c:ext xmlns:c16="http://schemas.microsoft.com/office/drawing/2014/chart" uri="{C3380CC4-5D6E-409C-BE32-E72D297353CC}">
              <c16:uniqueId val="{0000000A-069F-4CB5-8D00-FAAA94D9F2C0}"/>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Grafik-14 İthal Ürünlerde Uygunsuzluk Sayısının En Yüksek Olduğu Ürün Grupları </a:t>
            </a:r>
          </a:p>
        </c:rich>
      </c:tx>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317730417255178"/>
          <c:y val="0.15755106414486258"/>
          <c:w val="0.60188724743125388"/>
          <c:h val="0.74549949365854618"/>
        </c:manualLayout>
      </c:layout>
      <c:bar3DChart>
        <c:barDir val="bar"/>
        <c:grouping val="clustered"/>
        <c:varyColors val="0"/>
        <c:ser>
          <c:idx val="0"/>
          <c:order val="0"/>
          <c:tx>
            <c:strRef>
              <c:f>'15.ithal uyg'!$A$5</c:f>
              <c:strCache>
                <c:ptCount val="1"/>
                <c:pt idx="0">
                  <c:v>ELEKTRİKLİ EKİPMANLAR</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uyg'!$B$2</c:f>
              <c:numCache>
                <c:formatCode>General</c:formatCode>
                <c:ptCount val="1"/>
              </c:numCache>
            </c:numRef>
          </c:cat>
          <c:val>
            <c:numRef>
              <c:f>'15.ithal uyg'!$B$5</c:f>
              <c:numCache>
                <c:formatCode>0</c:formatCode>
                <c:ptCount val="1"/>
                <c:pt idx="0">
                  <c:v>2093</c:v>
                </c:pt>
              </c:numCache>
            </c:numRef>
          </c:val>
          <c:extLst>
            <c:ext xmlns:c16="http://schemas.microsoft.com/office/drawing/2014/chart" uri="{C3380CC4-5D6E-409C-BE32-E72D297353CC}">
              <c16:uniqueId val="{00000000-28DB-477D-8A7B-AA4CF0EDAC0F}"/>
            </c:ext>
          </c:extLst>
        </c:ser>
        <c:ser>
          <c:idx val="1"/>
          <c:order val="1"/>
          <c:tx>
            <c:strRef>
              <c:f>'15.ithal uyg'!$A$6</c:f>
              <c:strCache>
                <c:ptCount val="1"/>
                <c:pt idx="0">
                  <c:v>MAKİNELER</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uyg'!$B$2</c:f>
              <c:numCache>
                <c:formatCode>General</c:formatCode>
                <c:ptCount val="1"/>
              </c:numCache>
            </c:numRef>
          </c:cat>
          <c:val>
            <c:numRef>
              <c:f>'15.ithal uyg'!$B$6</c:f>
              <c:numCache>
                <c:formatCode>0</c:formatCode>
                <c:ptCount val="1"/>
                <c:pt idx="0">
                  <c:v>1209</c:v>
                </c:pt>
              </c:numCache>
            </c:numRef>
          </c:val>
          <c:extLst>
            <c:ext xmlns:c16="http://schemas.microsoft.com/office/drawing/2014/chart" uri="{C3380CC4-5D6E-409C-BE32-E72D297353CC}">
              <c16:uniqueId val="{00000001-28DB-477D-8A7B-AA4CF0EDAC0F}"/>
            </c:ext>
          </c:extLst>
        </c:ser>
        <c:ser>
          <c:idx val="2"/>
          <c:order val="2"/>
          <c:tx>
            <c:strRef>
              <c:f>'15.ithal uyg'!$A$7</c:f>
              <c:strCache>
                <c:ptCount val="1"/>
                <c:pt idx="0">
                  <c:v>TELSİZ VE/VEYA TELEKOMÜNİKASYON TERMİNAL EKİPMANLARI</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uyg'!$B$2</c:f>
              <c:numCache>
                <c:formatCode>General</c:formatCode>
                <c:ptCount val="1"/>
              </c:numCache>
            </c:numRef>
          </c:cat>
          <c:val>
            <c:numRef>
              <c:f>'15.ithal uyg'!$B$7</c:f>
              <c:numCache>
                <c:formatCode>0</c:formatCode>
                <c:ptCount val="1"/>
                <c:pt idx="0">
                  <c:v>707</c:v>
                </c:pt>
              </c:numCache>
            </c:numRef>
          </c:val>
          <c:extLst>
            <c:ext xmlns:c16="http://schemas.microsoft.com/office/drawing/2014/chart" uri="{C3380CC4-5D6E-409C-BE32-E72D297353CC}">
              <c16:uniqueId val="{00000002-28DB-477D-8A7B-AA4CF0EDAC0F}"/>
            </c:ext>
          </c:extLst>
        </c:ser>
        <c:ser>
          <c:idx val="3"/>
          <c:order val="3"/>
          <c:tx>
            <c:strRef>
              <c:f>'15.ithal uyg'!$A$8</c:f>
              <c:strCache>
                <c:ptCount val="1"/>
                <c:pt idx="0">
                  <c:v>KOZMETİKLER</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uyg'!$B$2</c:f>
              <c:numCache>
                <c:formatCode>General</c:formatCode>
                <c:ptCount val="1"/>
              </c:numCache>
            </c:numRef>
          </c:cat>
          <c:val>
            <c:numRef>
              <c:f>'15.ithal uyg'!$B$8</c:f>
              <c:numCache>
                <c:formatCode>General</c:formatCode>
                <c:ptCount val="1"/>
                <c:pt idx="0">
                  <c:v>274</c:v>
                </c:pt>
              </c:numCache>
            </c:numRef>
          </c:val>
          <c:extLst>
            <c:ext xmlns:c16="http://schemas.microsoft.com/office/drawing/2014/chart" uri="{C3380CC4-5D6E-409C-BE32-E72D297353CC}">
              <c16:uniqueId val="{00000003-28DB-477D-8A7B-AA4CF0EDAC0F}"/>
            </c:ext>
          </c:extLst>
        </c:ser>
        <c:ser>
          <c:idx val="4"/>
          <c:order val="4"/>
          <c:tx>
            <c:strRef>
              <c:f>'15.ithal uyg'!$A$9</c:f>
              <c:strCache>
                <c:ptCount val="1"/>
                <c:pt idx="0">
                  <c:v>HAZIR BETON DIŞINDAKİ 
YAPI MALZEMELERİ</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uyg'!$B$2</c:f>
              <c:numCache>
                <c:formatCode>General</c:formatCode>
                <c:ptCount val="1"/>
              </c:numCache>
            </c:numRef>
          </c:cat>
          <c:val>
            <c:numRef>
              <c:f>'15.ithal uyg'!$B$9</c:f>
              <c:numCache>
                <c:formatCode>General</c:formatCode>
                <c:ptCount val="1"/>
                <c:pt idx="0">
                  <c:v>252</c:v>
                </c:pt>
              </c:numCache>
            </c:numRef>
          </c:val>
          <c:extLst>
            <c:ext xmlns:c16="http://schemas.microsoft.com/office/drawing/2014/chart" uri="{C3380CC4-5D6E-409C-BE32-E72D297353CC}">
              <c16:uniqueId val="{00000004-28DB-477D-8A7B-AA4CF0EDAC0F}"/>
            </c:ext>
          </c:extLst>
        </c:ser>
        <c:ser>
          <c:idx val="5"/>
          <c:order val="5"/>
          <c:tx>
            <c:strRef>
              <c:f>'15.ithal uyg'!$A$10</c:f>
              <c:strCache>
                <c:ptCount val="1"/>
                <c:pt idx="0">
                  <c:v>GIDA</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uyg'!$B$2</c:f>
              <c:numCache>
                <c:formatCode>General</c:formatCode>
                <c:ptCount val="1"/>
              </c:numCache>
            </c:numRef>
          </c:cat>
          <c:val>
            <c:numRef>
              <c:f>'15.ithal uyg'!$B$10</c:f>
              <c:numCache>
                <c:formatCode>General</c:formatCode>
                <c:ptCount val="1"/>
                <c:pt idx="0">
                  <c:v>238</c:v>
                </c:pt>
              </c:numCache>
            </c:numRef>
          </c:val>
          <c:extLst>
            <c:ext xmlns:c16="http://schemas.microsoft.com/office/drawing/2014/chart" uri="{C3380CC4-5D6E-409C-BE32-E72D297353CC}">
              <c16:uniqueId val="{00000005-28DB-477D-8A7B-AA4CF0EDAC0F}"/>
            </c:ext>
          </c:extLst>
        </c:ser>
        <c:ser>
          <c:idx val="6"/>
          <c:order val="6"/>
          <c:tx>
            <c:strRef>
              <c:f>'15.ithal uyg'!$A$11</c:f>
              <c:strCache>
                <c:ptCount val="1"/>
                <c:pt idx="0">
                  <c:v>TIBBİ CİHAZLAR</c:v>
                </c:pt>
              </c:strCache>
            </c:strRef>
          </c:tx>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uyg'!$B$2</c:f>
              <c:numCache>
                <c:formatCode>General</c:formatCode>
                <c:ptCount val="1"/>
              </c:numCache>
            </c:numRef>
          </c:cat>
          <c:val>
            <c:numRef>
              <c:f>'15.ithal uyg'!$B$11</c:f>
              <c:numCache>
                <c:formatCode>General</c:formatCode>
                <c:ptCount val="1"/>
                <c:pt idx="0">
                  <c:v>113</c:v>
                </c:pt>
              </c:numCache>
            </c:numRef>
          </c:val>
          <c:extLst>
            <c:ext xmlns:c16="http://schemas.microsoft.com/office/drawing/2014/chart" uri="{C3380CC4-5D6E-409C-BE32-E72D297353CC}">
              <c16:uniqueId val="{00000006-28DB-477D-8A7B-AA4CF0EDAC0F}"/>
            </c:ext>
          </c:extLst>
        </c:ser>
        <c:ser>
          <c:idx val="7"/>
          <c:order val="7"/>
          <c:tx>
            <c:strRef>
              <c:f>'15.ithal uyg'!$A$12</c:f>
              <c:strCache>
                <c:ptCount val="1"/>
                <c:pt idx="0">
                  <c:v>TAŞINABİLİR BASINÇLI EKİPMANLAR </c:v>
                </c:pt>
              </c:strCache>
            </c:strRef>
          </c:tx>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invertIfNegative val="0"/>
          <c:dLbls>
            <c:dLbl>
              <c:idx val="0"/>
              <c:layout>
                <c:manualLayout>
                  <c:x val="1.654088700506564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90D-4758-8B7B-E297FE4F59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'15.ithal uyg'!$B$2</c:f>
              <c:numCache>
                <c:formatCode>General</c:formatCode>
                <c:ptCount val="1"/>
              </c:numCache>
            </c:numRef>
          </c:cat>
          <c:val>
            <c:numRef>
              <c:f>'15.ithal uyg'!$B$12</c:f>
              <c:numCache>
                <c:formatCode>General</c:formatCode>
                <c:ptCount val="1"/>
                <c:pt idx="0">
                  <c:v>48</c:v>
                </c:pt>
              </c:numCache>
            </c:numRef>
          </c:val>
          <c:extLst>
            <c:ext xmlns:c16="http://schemas.microsoft.com/office/drawing/2014/chart" uri="{C3380CC4-5D6E-409C-BE32-E72D297353CC}">
              <c16:uniqueId val="{00000007-28DB-477D-8A7B-AA4CF0EDAC0F}"/>
            </c:ext>
          </c:extLst>
        </c:ser>
        <c:ser>
          <c:idx val="8"/>
          <c:order val="8"/>
          <c:tx>
            <c:strRef>
              <c:f>'15.ithal uyg'!$A$13</c:f>
              <c:strCache>
                <c:ptCount val="1"/>
                <c:pt idx="0">
                  <c:v>PİL VE AKÜLER</c:v>
                </c:pt>
              </c:strCache>
            </c:strRef>
          </c:tx>
          <c:spPr>
            <a:solidFill>
              <a:schemeClr val="accent3">
                <a:lumMod val="60000"/>
                <a:alpha val="85000"/>
              </a:schemeClr>
            </a:solidFill>
            <a:ln w="9525" cap="flat" cmpd="sng" algn="ctr">
              <a:solidFill>
                <a:schemeClr val="accent3">
                  <a:lumMod val="60000"/>
                  <a:lumMod val="75000"/>
                </a:schemeClr>
              </a:solidFill>
              <a:round/>
            </a:ln>
            <a:effectLst/>
            <a:sp3d contourW="9525">
              <a:contourClr>
                <a:schemeClr val="accent3">
                  <a:lumMod val="60000"/>
                  <a:lumMod val="75000"/>
                </a:schemeClr>
              </a:contourClr>
            </a:sp3d>
          </c:spPr>
          <c:invertIfNegative val="0"/>
          <c:dLbls>
            <c:dLbl>
              <c:idx val="0"/>
              <c:layout>
                <c:manualLayout>
                  <c:x val="1.6540887005065646E-2"/>
                  <c:y val="1.788748770235220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90D-4758-8B7B-E297FE4F59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'15.ithal uyg'!$B$2</c:f>
              <c:numCache>
                <c:formatCode>General</c:formatCode>
                <c:ptCount val="1"/>
              </c:numCache>
            </c:numRef>
          </c:cat>
          <c:val>
            <c:numRef>
              <c:f>'15.ithal uyg'!$B$13</c:f>
              <c:numCache>
                <c:formatCode>General</c:formatCode>
                <c:ptCount val="1"/>
                <c:pt idx="0">
                  <c:v>37</c:v>
                </c:pt>
              </c:numCache>
            </c:numRef>
          </c:val>
          <c:extLst>
            <c:ext xmlns:c16="http://schemas.microsoft.com/office/drawing/2014/chart" uri="{C3380CC4-5D6E-409C-BE32-E72D297353CC}">
              <c16:uniqueId val="{00000008-28DB-477D-8A7B-AA4CF0EDAC0F}"/>
            </c:ext>
          </c:extLst>
        </c:ser>
        <c:ser>
          <c:idx val="9"/>
          <c:order val="9"/>
          <c:tx>
            <c:strRef>
              <c:f>'15.ithal uyg'!$A$14</c:f>
              <c:strCache>
                <c:ptCount val="1"/>
                <c:pt idx="0">
                  <c:v>OTOMOTİV</c:v>
                </c:pt>
              </c:strCache>
            </c:strRef>
          </c:tx>
          <c:spPr>
            <a:solidFill>
              <a:schemeClr val="accent4">
                <a:lumMod val="60000"/>
                <a:alpha val="85000"/>
              </a:schemeClr>
            </a:solidFill>
            <a:ln w="9525" cap="flat" cmpd="sng" algn="ctr">
              <a:solidFill>
                <a:schemeClr val="accent4">
                  <a:lumMod val="60000"/>
                  <a:lumMod val="75000"/>
                </a:schemeClr>
              </a:solidFill>
              <a:round/>
            </a:ln>
            <a:effectLst/>
            <a:sp3d contourW="9525">
              <a:contourClr>
                <a:schemeClr val="accent4">
                  <a:lumMod val="60000"/>
                  <a:lumMod val="75000"/>
                </a:schemeClr>
              </a:contourClr>
            </a:sp3d>
          </c:spPr>
          <c:invertIfNegative val="0"/>
          <c:dLbls>
            <c:dLbl>
              <c:idx val="0"/>
              <c:layout>
                <c:manualLayout>
                  <c:x val="1.860849788069885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90D-4758-8B7B-E297FE4F59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'15.ithal uyg'!$B$2</c:f>
              <c:numCache>
                <c:formatCode>General</c:formatCode>
                <c:ptCount val="1"/>
              </c:numCache>
            </c:numRef>
          </c:cat>
          <c:val>
            <c:numRef>
              <c:f>'15.ithal uyg'!$B$14</c:f>
              <c:numCache>
                <c:formatCode>General</c:formatCode>
                <c:ptCount val="1"/>
                <c:pt idx="0">
                  <c:v>34</c:v>
                </c:pt>
              </c:numCache>
            </c:numRef>
          </c:val>
          <c:extLst>
            <c:ext xmlns:c16="http://schemas.microsoft.com/office/drawing/2014/chart" uri="{C3380CC4-5D6E-409C-BE32-E72D297353CC}">
              <c16:uniqueId val="{00000009-28DB-477D-8A7B-AA4CF0EDAC0F}"/>
            </c:ext>
          </c:extLst>
        </c:ser>
        <c:dLbls>
          <c:showLegendKey val="0"/>
          <c:showVal val="1"/>
          <c:showCatName val="0"/>
          <c:showSerName val="0"/>
          <c:showPercent val="0"/>
          <c:showBubbleSize val="0"/>
        </c:dLbls>
        <c:gapWidth val="65"/>
        <c:shape val="box"/>
        <c:axId val="207293824"/>
        <c:axId val="207324288"/>
        <c:axId val="0"/>
      </c:bar3DChart>
      <c:catAx>
        <c:axId val="207293824"/>
        <c:scaling>
          <c:orientation val="minMax"/>
        </c:scaling>
        <c:delete val="1"/>
        <c:axPos val="l"/>
        <c:numFmt formatCode="General" sourceLinked="1"/>
        <c:majorTickMark val="none"/>
        <c:minorTickMark val="none"/>
        <c:tickLblPos val="nextTo"/>
        <c:crossAx val="207324288"/>
        <c:crosses val="autoZero"/>
        <c:auto val="1"/>
        <c:lblAlgn val="ctr"/>
        <c:lblOffset val="100"/>
        <c:noMultiLvlLbl val="0"/>
      </c:catAx>
      <c:valAx>
        <c:axId val="207324288"/>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07293824"/>
        <c:crosses val="autoZero"/>
        <c:crossBetween val="between"/>
      </c:valAx>
      <c:spPr>
        <a:noFill/>
        <a:ln>
          <a:noFill/>
        </a:ln>
        <a:effectLst/>
      </c:spPr>
    </c:plotArea>
    <c:legend>
      <c:legendPos val="b"/>
      <c:layout>
        <c:manualLayout>
          <c:xMode val="edge"/>
          <c:yMode val="edge"/>
          <c:x val="5.522556855534301E-2"/>
          <c:y val="0.19714790055177386"/>
          <c:w val="0.21442037259466884"/>
          <c:h val="0.681247225634781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Grafik-15 İthal Ürünlerde Güvensizlik Sayısının En Yüksek Olduğu Ürün Grupları </a:t>
            </a:r>
          </a:p>
        </c:rich>
      </c:tx>
      <c:layout>
        <c:manualLayout>
          <c:xMode val="edge"/>
          <c:yMode val="edge"/>
          <c:x val="0.12160686014678262"/>
          <c:y val="1.2744648752797299E-2"/>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317730417255178"/>
          <c:y val="0.13206182325413365"/>
          <c:w val="0.60188724743125388"/>
          <c:h val="0.8292830884197635"/>
        </c:manualLayout>
      </c:layout>
      <c:bar3DChart>
        <c:barDir val="bar"/>
        <c:grouping val="clustered"/>
        <c:varyColors val="0"/>
        <c:ser>
          <c:idx val="0"/>
          <c:order val="0"/>
          <c:tx>
            <c:strRef>
              <c:f>'15.ithal güv'!$A$5</c:f>
              <c:strCache>
                <c:ptCount val="1"/>
                <c:pt idx="0">
                  <c:v>ELEKTRİKLİ EKİPMANLAR</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güv'!$B$2</c:f>
              <c:numCache>
                <c:formatCode>General</c:formatCode>
                <c:ptCount val="1"/>
              </c:numCache>
            </c:numRef>
          </c:cat>
          <c:val>
            <c:numRef>
              <c:f>'15.ithal güv'!$B$5</c:f>
              <c:numCache>
                <c:formatCode>0</c:formatCode>
                <c:ptCount val="1"/>
                <c:pt idx="0">
                  <c:v>25</c:v>
                </c:pt>
              </c:numCache>
            </c:numRef>
          </c:val>
          <c:extLst>
            <c:ext xmlns:c16="http://schemas.microsoft.com/office/drawing/2014/chart" uri="{C3380CC4-5D6E-409C-BE32-E72D297353CC}">
              <c16:uniqueId val="{00000000-7D09-45F4-B05A-864B34D1F74E}"/>
            </c:ext>
          </c:extLst>
        </c:ser>
        <c:ser>
          <c:idx val="1"/>
          <c:order val="1"/>
          <c:tx>
            <c:strRef>
              <c:f>'15.ithal güv'!$A$6</c:f>
              <c:strCache>
                <c:ptCount val="1"/>
                <c:pt idx="0">
                  <c:v>TELSİZ VE/VEYA TELEKOMÜNİKASYON TERMİNAL EKİPMANLARI</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güv'!$B$2</c:f>
              <c:numCache>
                <c:formatCode>General</c:formatCode>
                <c:ptCount val="1"/>
              </c:numCache>
            </c:numRef>
          </c:cat>
          <c:val>
            <c:numRef>
              <c:f>'15.ithal güv'!$B$6</c:f>
              <c:numCache>
                <c:formatCode>0</c:formatCode>
                <c:ptCount val="1"/>
                <c:pt idx="0">
                  <c:v>11</c:v>
                </c:pt>
              </c:numCache>
            </c:numRef>
          </c:val>
          <c:extLst>
            <c:ext xmlns:c16="http://schemas.microsoft.com/office/drawing/2014/chart" uri="{C3380CC4-5D6E-409C-BE32-E72D297353CC}">
              <c16:uniqueId val="{00000001-7D09-45F4-B05A-864B34D1F74E}"/>
            </c:ext>
          </c:extLst>
        </c:ser>
        <c:ser>
          <c:idx val="2"/>
          <c:order val="2"/>
          <c:tx>
            <c:strRef>
              <c:f>'15.ithal güv'!$A$7</c:f>
              <c:strCache>
                <c:ptCount val="1"/>
                <c:pt idx="0">
                  <c:v>KOZMETİKLER</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güv'!$B$2</c:f>
              <c:numCache>
                <c:formatCode>General</c:formatCode>
                <c:ptCount val="1"/>
              </c:numCache>
            </c:numRef>
          </c:cat>
          <c:val>
            <c:numRef>
              <c:f>'15.ithal güv'!$B$7</c:f>
              <c:numCache>
                <c:formatCode>0</c:formatCode>
                <c:ptCount val="1"/>
                <c:pt idx="0">
                  <c:v>8</c:v>
                </c:pt>
              </c:numCache>
            </c:numRef>
          </c:val>
          <c:extLst>
            <c:ext xmlns:c16="http://schemas.microsoft.com/office/drawing/2014/chart" uri="{C3380CC4-5D6E-409C-BE32-E72D297353CC}">
              <c16:uniqueId val="{00000002-7D09-45F4-B05A-864B34D1F74E}"/>
            </c:ext>
          </c:extLst>
        </c:ser>
        <c:ser>
          <c:idx val="3"/>
          <c:order val="3"/>
          <c:tx>
            <c:strRef>
              <c:f>'15.ithal güv'!$A$8</c:f>
              <c:strCache>
                <c:ptCount val="1"/>
                <c:pt idx="0">
                  <c:v>ENERJİ VERİMLİLİĞİ</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güv'!$B$2</c:f>
              <c:numCache>
                <c:formatCode>General</c:formatCode>
                <c:ptCount val="1"/>
              </c:numCache>
            </c:numRef>
          </c:cat>
          <c:val>
            <c:numRef>
              <c:f>'15.ithal güv'!$B$8</c:f>
              <c:numCache>
                <c:formatCode>General</c:formatCode>
                <c:ptCount val="1"/>
                <c:pt idx="0">
                  <c:v>8</c:v>
                </c:pt>
              </c:numCache>
            </c:numRef>
          </c:val>
          <c:extLst>
            <c:ext xmlns:c16="http://schemas.microsoft.com/office/drawing/2014/chart" uri="{C3380CC4-5D6E-409C-BE32-E72D297353CC}">
              <c16:uniqueId val="{00000003-7D09-45F4-B05A-864B34D1F74E}"/>
            </c:ext>
          </c:extLst>
        </c:ser>
        <c:ser>
          <c:idx val="4"/>
          <c:order val="4"/>
          <c:tx>
            <c:strRef>
              <c:f>'15.ithal güv'!$A$9</c:f>
              <c:strCache>
                <c:ptCount val="1"/>
                <c:pt idx="0">
                  <c:v>KIRTASİYE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güv'!$B$2</c:f>
              <c:numCache>
                <c:formatCode>General</c:formatCode>
                <c:ptCount val="1"/>
              </c:numCache>
            </c:numRef>
          </c:cat>
          <c:val>
            <c:numRef>
              <c:f>'15.ithal güv'!$B$9</c:f>
              <c:numCache>
                <c:formatCode>General</c:formatCode>
                <c:ptCount val="1"/>
                <c:pt idx="0">
                  <c:v>7</c:v>
                </c:pt>
              </c:numCache>
            </c:numRef>
          </c:val>
          <c:extLst>
            <c:ext xmlns:c16="http://schemas.microsoft.com/office/drawing/2014/chart" uri="{C3380CC4-5D6E-409C-BE32-E72D297353CC}">
              <c16:uniqueId val="{00000004-7D09-45F4-B05A-864B34D1F74E}"/>
            </c:ext>
          </c:extLst>
        </c:ser>
        <c:ser>
          <c:idx val="5"/>
          <c:order val="5"/>
          <c:tx>
            <c:strRef>
              <c:f>'15.ithal güv'!$A$10</c:f>
              <c:strCache>
                <c:ptCount val="1"/>
                <c:pt idx="0">
                  <c:v>OTOMOTİV</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'15.ithal güv'!$B$2</c:f>
              <c:numCache>
                <c:formatCode>General</c:formatCode>
                <c:ptCount val="1"/>
              </c:numCache>
            </c:numRef>
          </c:cat>
          <c:val>
            <c:numRef>
              <c:f>'15.ithal güv'!$B$10</c:f>
              <c:numCache>
                <c:formatCode>General</c:formatCode>
                <c:ptCount val="1"/>
                <c:pt idx="0">
                  <c:v>6</c:v>
                </c:pt>
              </c:numCache>
            </c:numRef>
          </c:val>
          <c:extLst>
            <c:ext xmlns:c16="http://schemas.microsoft.com/office/drawing/2014/chart" uri="{C3380CC4-5D6E-409C-BE32-E72D297353CC}">
              <c16:uniqueId val="{00000005-7D09-45F4-B05A-864B34D1F74E}"/>
            </c:ext>
          </c:extLst>
        </c:ser>
        <c:ser>
          <c:idx val="6"/>
          <c:order val="6"/>
          <c:tx>
            <c:strRef>
              <c:f>'15.ithal güv'!$A$11</c:f>
              <c:strCache>
                <c:ptCount val="1"/>
                <c:pt idx="0">
                  <c:v>OYUNCAKLAR</c:v>
                </c:pt>
              </c:strCache>
            </c:strRef>
          </c:tx>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invertIfNegative val="0"/>
          <c:dLbls>
            <c:dLbl>
              <c:idx val="0"/>
              <c:layout>
                <c:manualLayout>
                  <c:x val="1.1299435028248679E-2"/>
                  <c:y val="-7.788306488861667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D09-45F4-B05A-864B34D1F7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'15.ithal güv'!$B$2</c:f>
              <c:numCache>
                <c:formatCode>General</c:formatCode>
                <c:ptCount val="1"/>
              </c:numCache>
            </c:numRef>
          </c:cat>
          <c:val>
            <c:numRef>
              <c:f>'15.ithal güv'!$B$11</c:f>
              <c:numCache>
                <c:formatCode>General</c:formatCode>
                <c:ptCount val="1"/>
                <c:pt idx="0">
                  <c:v>4</c:v>
                </c:pt>
              </c:numCache>
            </c:numRef>
          </c:val>
          <c:extLst>
            <c:ext xmlns:c16="http://schemas.microsoft.com/office/drawing/2014/chart" uri="{C3380CC4-5D6E-409C-BE32-E72D297353CC}">
              <c16:uniqueId val="{00000007-7D09-45F4-B05A-864B34D1F74E}"/>
            </c:ext>
          </c:extLst>
        </c:ser>
        <c:ser>
          <c:idx val="7"/>
          <c:order val="7"/>
          <c:tx>
            <c:strRef>
              <c:f>'15.ithal güv'!$A$12</c:f>
              <c:strCache>
                <c:ptCount val="1"/>
                <c:pt idx="0">
                  <c:v>TIBBİ CİHAZLAR</c:v>
                </c:pt>
              </c:strCache>
            </c:strRef>
          </c:tx>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invertIfNegative val="0"/>
          <c:dLbls>
            <c:dLbl>
              <c:idx val="0"/>
              <c:layout>
                <c:manualLayout>
                  <c:x val="1.8832391713747603E-2"/>
                  <c:y val="-7.788306488861667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D09-45F4-B05A-864B34D1F7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'15.ithal güv'!$B$2</c:f>
              <c:numCache>
                <c:formatCode>General</c:formatCode>
                <c:ptCount val="1"/>
              </c:numCache>
            </c:numRef>
          </c:cat>
          <c:val>
            <c:numRef>
              <c:f>'15.ithal güv'!$B$12</c:f>
              <c:numCache>
                <c:formatCode>General</c:formatCode>
                <c:ptCount val="1"/>
                <c:pt idx="0">
                  <c:v>2</c:v>
                </c:pt>
              </c:numCache>
            </c:numRef>
          </c:val>
          <c:extLst>
            <c:ext xmlns:c16="http://schemas.microsoft.com/office/drawing/2014/chart" uri="{C3380CC4-5D6E-409C-BE32-E72D297353CC}">
              <c16:uniqueId val="{00000009-7D09-45F4-B05A-864B34D1F74E}"/>
            </c:ext>
          </c:extLst>
        </c:ser>
        <c:ser>
          <c:idx val="8"/>
          <c:order val="8"/>
          <c:tx>
            <c:strRef>
              <c:f>'15.ithal güv'!$A$13</c:f>
              <c:strCache>
                <c:ptCount val="1"/>
                <c:pt idx="0">
                  <c:v>ATEX</c:v>
                </c:pt>
              </c:strCache>
            </c:strRef>
          </c:tx>
          <c:spPr>
            <a:solidFill>
              <a:schemeClr val="accent3">
                <a:lumMod val="60000"/>
                <a:alpha val="85000"/>
              </a:schemeClr>
            </a:solidFill>
            <a:ln w="9525" cap="flat" cmpd="sng" algn="ctr">
              <a:solidFill>
                <a:schemeClr val="accent3">
                  <a:lumMod val="60000"/>
                  <a:lumMod val="75000"/>
                </a:schemeClr>
              </a:solidFill>
              <a:round/>
            </a:ln>
            <a:effectLst/>
            <a:sp3d contourW="9525">
              <a:contourClr>
                <a:schemeClr val="accent3">
                  <a:lumMod val="60000"/>
                  <a:lumMod val="75000"/>
                </a:schemeClr>
              </a:contourClr>
            </a:sp3d>
          </c:spPr>
          <c:invertIfNegative val="0"/>
          <c:dLbls>
            <c:dLbl>
              <c:idx val="0"/>
              <c:layout>
                <c:manualLayout>
                  <c:x val="1.757689893283113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D09-45F4-B05A-864B34D1F7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'15.ithal güv'!$B$2</c:f>
              <c:numCache>
                <c:formatCode>General</c:formatCode>
                <c:ptCount val="1"/>
              </c:numCache>
            </c:numRef>
          </c:cat>
          <c:val>
            <c:numRef>
              <c:f>'15.ithal güv'!$B$13</c:f>
              <c:numCache>
                <c:formatCode>General</c:formatCode>
                <c:ptCount val="1"/>
                <c:pt idx="0">
                  <c:v>1</c:v>
                </c:pt>
              </c:numCache>
            </c:numRef>
          </c:val>
          <c:extLst>
            <c:ext xmlns:c16="http://schemas.microsoft.com/office/drawing/2014/chart" uri="{C3380CC4-5D6E-409C-BE32-E72D297353CC}">
              <c16:uniqueId val="{0000000B-7D09-45F4-B05A-864B34D1F74E}"/>
            </c:ext>
          </c:extLst>
        </c:ser>
        <c:ser>
          <c:idx val="9"/>
          <c:order val="9"/>
          <c:tx>
            <c:strRef>
              <c:f>'15.ithal güv'!$A$14</c:f>
              <c:strCache>
                <c:ptCount val="1"/>
                <c:pt idx="0">
                  <c:v>BASINÇLI EKİPMANLAR</c:v>
                </c:pt>
              </c:strCache>
            </c:strRef>
          </c:tx>
          <c:spPr>
            <a:solidFill>
              <a:schemeClr val="accent4">
                <a:lumMod val="60000"/>
                <a:alpha val="85000"/>
              </a:schemeClr>
            </a:solidFill>
            <a:ln w="9525" cap="flat" cmpd="sng" algn="ctr">
              <a:solidFill>
                <a:schemeClr val="accent4">
                  <a:lumMod val="60000"/>
                  <a:lumMod val="75000"/>
                </a:schemeClr>
              </a:solidFill>
              <a:round/>
            </a:ln>
            <a:effectLst/>
            <a:sp3d contourW="9525">
              <a:contourClr>
                <a:schemeClr val="accent4">
                  <a:lumMod val="60000"/>
                  <a:lumMod val="75000"/>
                </a:schemeClr>
              </a:contourClr>
            </a:sp3d>
          </c:spPr>
          <c:invertIfNegative val="0"/>
          <c:dLbls>
            <c:dLbl>
              <c:idx val="0"/>
              <c:layout>
                <c:manualLayout>
                  <c:x val="1.632140615191462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D09-45F4-B05A-864B34D1F7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'15.ithal güv'!$B$2</c:f>
              <c:numCache>
                <c:formatCode>General</c:formatCode>
                <c:ptCount val="1"/>
              </c:numCache>
            </c:numRef>
          </c:cat>
          <c:val>
            <c:numRef>
              <c:f>'15.ithal güv'!$B$14</c:f>
              <c:numCache>
                <c:formatCode>General</c:formatCode>
                <c:ptCount val="1"/>
                <c:pt idx="0">
                  <c:v>1</c:v>
                </c:pt>
              </c:numCache>
            </c:numRef>
          </c:val>
          <c:extLst>
            <c:ext xmlns:c16="http://schemas.microsoft.com/office/drawing/2014/chart" uri="{C3380CC4-5D6E-409C-BE32-E72D297353CC}">
              <c16:uniqueId val="{0000000D-7D09-45F4-B05A-864B34D1F74E}"/>
            </c:ext>
          </c:extLst>
        </c:ser>
        <c:ser>
          <c:idx val="10"/>
          <c:order val="10"/>
          <c:tx>
            <c:strRef>
              <c:f>'15.ithal güv'!$A$15</c:f>
              <c:strCache>
                <c:ptCount val="1"/>
                <c:pt idx="0">
                  <c:v>KİMYEVİ VE ORGANİK GÜBRELER</c:v>
                </c:pt>
              </c:strCache>
            </c:strRef>
          </c:tx>
          <c:invertIfNegative val="0"/>
          <c:dLbls>
            <c:dLbl>
              <c:idx val="0"/>
              <c:layout>
                <c:manualLayout>
                  <c:x val="1.004394224733208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D09-45F4-B05A-864B34D1F7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'15.ithal güv'!$B$2</c:f>
              <c:numCache>
                <c:formatCode>General</c:formatCode>
                <c:ptCount val="1"/>
              </c:numCache>
            </c:numRef>
          </c:cat>
          <c:val>
            <c:numRef>
              <c:f>'15.ithal güv'!$B$15</c:f>
              <c:numCache>
                <c:formatCode>General</c:formatCode>
                <c:ptCount val="1"/>
                <c:pt idx="0">
                  <c:v>1</c:v>
                </c:pt>
              </c:numCache>
            </c:numRef>
          </c:val>
          <c:extLst>
            <c:ext xmlns:c16="http://schemas.microsoft.com/office/drawing/2014/chart" uri="{C3380CC4-5D6E-409C-BE32-E72D297353CC}">
              <c16:uniqueId val="{0000000F-7D09-45F4-B05A-864B34D1F74E}"/>
            </c:ext>
          </c:extLst>
        </c:ser>
        <c:dLbls>
          <c:showLegendKey val="0"/>
          <c:showVal val="1"/>
          <c:showCatName val="0"/>
          <c:showSerName val="0"/>
          <c:showPercent val="0"/>
          <c:showBubbleSize val="0"/>
        </c:dLbls>
        <c:gapWidth val="65"/>
        <c:shape val="box"/>
        <c:axId val="207480704"/>
        <c:axId val="207482240"/>
        <c:axId val="0"/>
      </c:bar3DChart>
      <c:catAx>
        <c:axId val="207480704"/>
        <c:scaling>
          <c:orientation val="minMax"/>
        </c:scaling>
        <c:delete val="1"/>
        <c:axPos val="l"/>
        <c:numFmt formatCode="General" sourceLinked="1"/>
        <c:majorTickMark val="none"/>
        <c:minorTickMark val="none"/>
        <c:tickLblPos val="nextTo"/>
        <c:crossAx val="207482240"/>
        <c:crosses val="autoZero"/>
        <c:auto val="1"/>
        <c:lblAlgn val="ctr"/>
        <c:lblOffset val="100"/>
        <c:noMultiLvlLbl val="0"/>
      </c:catAx>
      <c:valAx>
        <c:axId val="207482240"/>
        <c:scaling>
          <c:orientation val="minMax"/>
        </c:scaling>
        <c:delete val="0"/>
        <c:axPos val="b"/>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07480704"/>
        <c:crosses val="autoZero"/>
        <c:crossBetween val="between"/>
      </c:valAx>
      <c:spPr>
        <a:noFill/>
        <a:ln>
          <a:noFill/>
        </a:ln>
        <a:effectLst/>
      </c:spPr>
    </c:plotArea>
    <c:legend>
      <c:legendPos val="b"/>
      <c:layout>
        <c:manualLayout>
          <c:xMode val="edge"/>
          <c:yMode val="edge"/>
          <c:x val="6.2613500995991342E-3"/>
          <c:y val="0.20776838189791599"/>
          <c:w val="0.27342853329774508"/>
          <c:h val="0.7280395652770205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Grafik-16 Denetim Şekli ve Güvensizlik Tespiti İlişkisi</a:t>
            </a:r>
            <a:endParaRPr lang="tr-TR">
              <a:effectLst/>
            </a:endParaRPr>
          </a:p>
        </c:rich>
      </c:tx>
      <c:layout/>
      <c:overlay val="0"/>
      <c:spPr>
        <a:noFill/>
        <a:ln>
          <a:noFill/>
        </a:ln>
        <a:effectLst/>
      </c:spPr>
    </c:title>
    <c:autoTitleDeleted val="0"/>
    <c:plotArea>
      <c:layout/>
      <c:barChart>
        <c:barDir val="col"/>
        <c:grouping val="stacked"/>
        <c:varyColors val="0"/>
        <c:ser>
          <c:idx val="0"/>
          <c:order val="0"/>
          <c:tx>
            <c:strRef>
              <c:f>'16.test edilenler'!$B$2</c:f>
              <c:strCache>
                <c:ptCount val="1"/>
                <c:pt idx="0">
                  <c:v>Test Edilen Ürünler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'16.test edilenler'!$A$3:$A$5</c:f>
              <c:numCache>
                <c:formatCode>General</c:formatCode>
                <c:ptCount val="2"/>
                <c:pt idx="0">
                  <c:v>2018</c:v>
                </c:pt>
                <c:pt idx="1">
                  <c:v>2019</c:v>
                </c:pt>
              </c:numCache>
            </c:numRef>
          </c:cat>
          <c:val>
            <c:numRef>
              <c:f>'16.test edilenler'!$B$3:$B$5</c:f>
              <c:numCache>
                <c:formatCode>General</c:formatCode>
                <c:ptCount val="2"/>
                <c:pt idx="0">
                  <c:v>7952</c:v>
                </c:pt>
                <c:pt idx="1">
                  <c:v>8402</c:v>
                </c:pt>
              </c:numCache>
            </c:numRef>
          </c:val>
          <c:extLst>
            <c:ext xmlns:c16="http://schemas.microsoft.com/office/drawing/2014/chart" uri="{C3380CC4-5D6E-409C-BE32-E72D297353CC}">
              <c16:uniqueId val="{00000000-617D-4B91-BF60-1C426BE7437D}"/>
            </c:ext>
          </c:extLst>
        </c:ser>
        <c:ser>
          <c:idx val="1"/>
          <c:order val="1"/>
          <c:tx>
            <c:strRef>
              <c:f>'16.test edilenler'!$C$2</c:f>
              <c:strCache>
                <c:ptCount val="1"/>
                <c:pt idx="0">
                  <c:v>Test Edilenlerden Güvensiz Bulunanlar</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'16.test edilenler'!$A$3:$A$5</c:f>
              <c:numCache>
                <c:formatCode>General</c:formatCode>
                <c:ptCount val="2"/>
                <c:pt idx="0">
                  <c:v>2018</c:v>
                </c:pt>
                <c:pt idx="1">
                  <c:v>2019</c:v>
                </c:pt>
              </c:numCache>
            </c:numRef>
          </c:cat>
          <c:val>
            <c:numRef>
              <c:f>'16.test edilenler'!$C$3:$C$5</c:f>
              <c:numCache>
                <c:formatCode>General</c:formatCode>
                <c:ptCount val="2"/>
                <c:pt idx="0">
                  <c:v>802</c:v>
                </c:pt>
                <c:pt idx="1">
                  <c:v>512</c:v>
                </c:pt>
              </c:numCache>
            </c:numRef>
          </c:val>
          <c:extLst>
            <c:ext xmlns:c16="http://schemas.microsoft.com/office/drawing/2014/chart" uri="{C3380CC4-5D6E-409C-BE32-E72D297353CC}">
              <c16:uniqueId val="{00000001-617D-4B91-BF60-1C426BE7437D}"/>
            </c:ext>
          </c:extLst>
        </c:ser>
        <c:dLbls>
          <c:showLegendKey val="0"/>
          <c:showVal val="1"/>
          <c:showCatName val="0"/>
          <c:showSerName val="0"/>
          <c:showPercent val="0"/>
          <c:showBubbleSize val="0"/>
        </c:dLbls>
        <c:gapWidth val="150"/>
        <c:overlap val="100"/>
        <c:axId val="207373440"/>
        <c:axId val="207374976"/>
      </c:barChart>
      <c:catAx>
        <c:axId val="2073734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07374976"/>
        <c:crosses val="autoZero"/>
        <c:auto val="1"/>
        <c:lblAlgn val="ctr"/>
        <c:lblOffset val="100"/>
        <c:noMultiLvlLbl val="0"/>
      </c:catAx>
      <c:valAx>
        <c:axId val="2073749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07373440"/>
        <c:crosses val="autoZero"/>
        <c:crossBetween val="between"/>
      </c:valAx>
      <c:spPr>
        <a:noFill/>
        <a:ln>
          <a:noFill/>
        </a:ln>
        <a:effectLst/>
      </c:spPr>
    </c:plotArea>
    <c:legend>
      <c:legendPos val="b"/>
      <c:layout>
        <c:manualLayout>
          <c:xMode val="edge"/>
          <c:yMode val="edge"/>
          <c:x val="0.22844065300599009"/>
          <c:y val="0.92635139068799377"/>
          <c:w val="0.58102939322980585"/>
          <c:h val="6.6717001178919183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Grafik-17 Kuruluş Bazında Teste Gönderilen Ürünlerin Yıllara Göre Değişimi</a:t>
            </a:r>
            <a:endParaRPr lang="tr-TR">
              <a:effectLst/>
            </a:endParaRPr>
          </a:p>
        </c:rich>
      </c:tx>
      <c:layout/>
      <c:overlay val="0"/>
      <c:spPr>
        <a:noFill/>
        <a:ln>
          <a:noFill/>
        </a:ln>
        <a:effectLst/>
      </c:spPr>
    </c:title>
    <c:autoTitleDeleted val="0"/>
    <c:plotArea>
      <c:layout/>
      <c:barChart>
        <c:barDir val="col"/>
        <c:grouping val="clustered"/>
        <c:varyColors val="0"/>
        <c:ser>
          <c:idx val="0"/>
          <c:order val="0"/>
          <c:tx>
            <c:strRef>
              <c:f>'17.TEst değişim '!$C$2</c:f>
              <c:strCache>
                <c:ptCount val="1"/>
                <c:pt idx="0">
                  <c:v>2018</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'17.TEst değişim '!$A$3:$A$9</c:f>
              <c:strCache>
                <c:ptCount val="7"/>
                <c:pt idx="0">
                  <c:v>STB</c:v>
                </c:pt>
                <c:pt idx="1">
                  <c:v>AÇSHB</c:v>
                </c:pt>
                <c:pt idx="2">
                  <c:v>ÇŞB</c:v>
                </c:pt>
                <c:pt idx="3">
                  <c:v>TKPGGM</c:v>
                </c:pt>
                <c:pt idx="4">
                  <c:v>SB</c:v>
                </c:pt>
                <c:pt idx="5">
                  <c:v>UAB</c:v>
                </c:pt>
                <c:pt idx="6">
                  <c:v>BTK</c:v>
                </c:pt>
              </c:strCache>
            </c:strRef>
          </c:cat>
          <c:val>
            <c:numRef>
              <c:f>'17.TEst değişim '!$C$3:$C$9</c:f>
              <c:numCache>
                <c:formatCode>0</c:formatCode>
                <c:ptCount val="7"/>
                <c:pt idx="0">
                  <c:v>627</c:v>
                </c:pt>
                <c:pt idx="1">
                  <c:v>30</c:v>
                </c:pt>
                <c:pt idx="2">
                  <c:v>5267</c:v>
                </c:pt>
                <c:pt idx="3">
                  <c:v>302</c:v>
                </c:pt>
                <c:pt idx="4">
                  <c:v>314</c:v>
                </c:pt>
                <c:pt idx="5">
                  <c:v>0</c:v>
                </c:pt>
                <c:pt idx="6">
                  <c:v>1412</c:v>
                </c:pt>
              </c:numCache>
            </c:numRef>
          </c:val>
          <c:extLst>
            <c:ext xmlns:c16="http://schemas.microsoft.com/office/drawing/2014/chart" uri="{C3380CC4-5D6E-409C-BE32-E72D297353CC}">
              <c16:uniqueId val="{00000000-68F8-4078-8585-EE66198F6028}"/>
            </c:ext>
          </c:extLst>
        </c:ser>
        <c:ser>
          <c:idx val="1"/>
          <c:order val="1"/>
          <c:tx>
            <c:strRef>
              <c:f>'17.TEst değişim '!$D$2</c:f>
              <c:strCache>
                <c:ptCount val="1"/>
                <c:pt idx="0">
                  <c:v>2019</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'17.TEst değişim '!$A$3:$A$9</c:f>
              <c:strCache>
                <c:ptCount val="7"/>
                <c:pt idx="0">
                  <c:v>STB</c:v>
                </c:pt>
                <c:pt idx="1">
                  <c:v>AÇSHB</c:v>
                </c:pt>
                <c:pt idx="2">
                  <c:v>ÇŞB</c:v>
                </c:pt>
                <c:pt idx="3">
                  <c:v>TKPGGM</c:v>
                </c:pt>
                <c:pt idx="4">
                  <c:v>SB</c:v>
                </c:pt>
                <c:pt idx="5">
                  <c:v>UAB</c:v>
                </c:pt>
                <c:pt idx="6">
                  <c:v>BTK</c:v>
                </c:pt>
              </c:strCache>
            </c:strRef>
          </c:cat>
          <c:val>
            <c:numRef>
              <c:f>'17.TEst değişim '!$D$3:$D$9</c:f>
              <c:numCache>
                <c:formatCode>0</c:formatCode>
                <c:ptCount val="7"/>
                <c:pt idx="0">
                  <c:v>623</c:v>
                </c:pt>
                <c:pt idx="1">
                  <c:v>30</c:v>
                </c:pt>
                <c:pt idx="2">
                  <c:v>5266</c:v>
                </c:pt>
                <c:pt idx="3">
                  <c:v>202</c:v>
                </c:pt>
                <c:pt idx="4">
                  <c:v>314</c:v>
                </c:pt>
                <c:pt idx="5">
                  <c:v>2</c:v>
                </c:pt>
                <c:pt idx="6">
                  <c:v>1965</c:v>
                </c:pt>
              </c:numCache>
            </c:numRef>
          </c:val>
          <c:extLst>
            <c:ext xmlns:c16="http://schemas.microsoft.com/office/drawing/2014/chart" uri="{C3380CC4-5D6E-409C-BE32-E72D297353CC}">
              <c16:uniqueId val="{00000001-68F8-4078-8585-EE66198F6028}"/>
            </c:ext>
          </c:extLst>
        </c:ser>
        <c:dLbls>
          <c:showLegendKey val="0"/>
          <c:showVal val="1"/>
          <c:showCatName val="0"/>
          <c:showSerName val="0"/>
          <c:showPercent val="0"/>
          <c:showBubbleSize val="0"/>
        </c:dLbls>
        <c:gapWidth val="65"/>
        <c:axId val="207630720"/>
        <c:axId val="207632256"/>
      </c:barChart>
      <c:catAx>
        <c:axId val="2076307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07632256"/>
        <c:crosses val="autoZero"/>
        <c:auto val="1"/>
        <c:lblAlgn val="ctr"/>
        <c:lblOffset val="100"/>
        <c:noMultiLvlLbl val="0"/>
      </c:catAx>
      <c:valAx>
        <c:axId val="20763225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07630720"/>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Grafik-18 Teste Gönderilen Ürünlerin PGD Kuruluşlarına Göre Dağılımı (%)</a:t>
            </a:r>
            <a:endParaRPr lang="tr-TR">
              <a:effectLst/>
            </a:endParaRPr>
          </a:p>
        </c:rich>
      </c:tx>
      <c:layout>
        <c:manualLayout>
          <c:xMode val="edge"/>
          <c:yMode val="edge"/>
          <c:x val="0.1332223543400714"/>
          <c:y val="1.5717092337917491E-2"/>
        </c:manualLayout>
      </c:layout>
      <c:overlay val="0"/>
      <c:spPr>
        <a:noFill/>
        <a:ln>
          <a:noFill/>
        </a:ln>
        <a:effectLst/>
      </c:spPr>
    </c:title>
    <c:autoTitleDeleted val="0"/>
    <c:plotArea>
      <c:layout>
        <c:manualLayout>
          <c:layoutTarget val="inner"/>
          <c:xMode val="edge"/>
          <c:yMode val="edge"/>
          <c:x val="0.22262623236304727"/>
          <c:y val="0.24610347085789164"/>
          <c:w val="0.43408640507332591"/>
          <c:h val="0.71722331368696801"/>
        </c:manualLayout>
      </c:layout>
      <c:pieChart>
        <c:varyColors val="1"/>
        <c:ser>
          <c:idx val="0"/>
          <c:order val="0"/>
          <c:spPr>
            <a:scene3d>
              <a:camera prst="orthographicFront"/>
              <a:lightRig rig="threePt" dir="t"/>
            </a:scene3d>
            <a:sp3d>
              <a:bevelT w="190500" h="38100"/>
            </a:sp3d>
          </c:spPr>
          <c:explosion val="33"/>
          <c:dPt>
            <c:idx val="0"/>
            <c:bubble3D val="0"/>
            <c:spPr>
              <a:solidFill>
                <a:schemeClr val="accent1"/>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0D9B-4ED5-8D59-A5BC080CCAD9}"/>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0D9B-4ED5-8D59-A5BC080CCAD9}"/>
              </c:ext>
            </c:extLst>
          </c:dPt>
          <c:dPt>
            <c:idx val="2"/>
            <c:bubble3D val="0"/>
            <c:spPr>
              <a:solidFill>
                <a:schemeClr val="accent3"/>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0D9B-4ED5-8D59-A5BC080CCAD9}"/>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0D9B-4ED5-8D59-A5BC080CCAD9}"/>
              </c:ext>
            </c:extLst>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0D9B-4ED5-8D59-A5BC080CCAD9}"/>
              </c:ext>
            </c:extLst>
          </c:dPt>
          <c:dPt>
            <c:idx val="5"/>
            <c:bubble3D val="0"/>
            <c:spPr>
              <a:solidFill>
                <a:schemeClr val="accent6"/>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B-0D9B-4ED5-8D59-A5BC080CCAD9}"/>
              </c:ext>
            </c:extLst>
          </c:dPt>
          <c:dPt>
            <c:idx val="6"/>
            <c:bubble3D val="0"/>
            <c:explosion val="10"/>
            <c:spPr>
              <a:solidFill>
                <a:schemeClr val="accent1">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D-0D9B-4ED5-8D59-A5BC080CCAD9}"/>
              </c:ext>
            </c:extLst>
          </c:dPt>
          <c:dLbls>
            <c:dLbl>
              <c:idx val="0"/>
              <c:layout>
                <c:manualLayout>
                  <c:x val="-2.0100055864003871E-2"/>
                  <c:y val="-1.5093152648649764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D9B-4ED5-8D59-A5BC080CCAD9}"/>
                </c:ext>
              </c:extLst>
            </c:dLbl>
            <c:dLbl>
              <c:idx val="1"/>
              <c:layout>
                <c:manualLayout>
                  <c:x val="3.4427081870414239E-2"/>
                  <c:y val="-1.5655214021626472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D9B-4ED5-8D59-A5BC080CCAD9}"/>
                </c:ext>
              </c:extLst>
            </c:dLbl>
            <c:dLbl>
              <c:idx val="2"/>
              <c:layout>
                <c:manualLayout>
                  <c:x val="1.3045337228209141E-3"/>
                  <c:y val="-3.1510501265927231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0D9B-4ED5-8D59-A5BC080CCAD9}"/>
                </c:ext>
              </c:extLst>
            </c:dLbl>
            <c:dLbl>
              <c:idx val="3"/>
              <c:layout>
                <c:manualLayout>
                  <c:x val="1.013167052097056E-3"/>
                  <c:y val="6.706199515758209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0D9B-4ED5-8D59-A5BC080CCAD9}"/>
                </c:ext>
              </c:extLst>
            </c:dLbl>
            <c:dLbl>
              <c:idx val="4"/>
              <c:layout>
                <c:manualLayout>
                  <c:x val="-5.0321420880653903E-2"/>
                  <c:y val="-7.511648253270678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0D9B-4ED5-8D59-A5BC080CCAD9}"/>
                </c:ext>
              </c:extLst>
            </c:dLbl>
            <c:dLbl>
              <c:idx val="5"/>
              <c:layout>
                <c:manualLayout>
                  <c:x val="-3.3172107945484225E-2"/>
                  <c:y val="-3.687236769822382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0D9B-4ED5-8D59-A5BC080CCAD9}"/>
                </c:ext>
              </c:extLst>
            </c:dLbl>
            <c:dLbl>
              <c:idx val="7"/>
              <c:layout>
                <c:manualLayout>
                  <c:x val="-6.2301534543616151E-2"/>
                  <c:y val="7.96998901659885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0D9B-4ED5-8D59-A5BC080CCAD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15:layout/>
              </c:ext>
            </c:extLst>
          </c:dLbls>
          <c:cat>
            <c:strRef>
              <c:f>'18.test %'!$A$4:$A$10</c:f>
              <c:strCache>
                <c:ptCount val="7"/>
                <c:pt idx="0">
                  <c:v>STB</c:v>
                </c:pt>
                <c:pt idx="1">
                  <c:v>AÇSHB</c:v>
                </c:pt>
                <c:pt idx="2">
                  <c:v>ÇŞB</c:v>
                </c:pt>
                <c:pt idx="3">
                  <c:v>TKPGGM</c:v>
                </c:pt>
                <c:pt idx="4">
                  <c:v>SB</c:v>
                </c:pt>
                <c:pt idx="5">
                  <c:v>UAB</c:v>
                </c:pt>
                <c:pt idx="6">
                  <c:v>BTK</c:v>
                </c:pt>
              </c:strCache>
            </c:strRef>
          </c:cat>
          <c:val>
            <c:numRef>
              <c:f>'18.test %'!$B$4:$B$10</c:f>
              <c:numCache>
                <c:formatCode>0</c:formatCode>
                <c:ptCount val="7"/>
                <c:pt idx="0">
                  <c:v>623</c:v>
                </c:pt>
                <c:pt idx="1">
                  <c:v>30</c:v>
                </c:pt>
                <c:pt idx="2">
                  <c:v>5266</c:v>
                </c:pt>
                <c:pt idx="3">
                  <c:v>202</c:v>
                </c:pt>
                <c:pt idx="4">
                  <c:v>314</c:v>
                </c:pt>
                <c:pt idx="5">
                  <c:v>2</c:v>
                </c:pt>
                <c:pt idx="6">
                  <c:v>1965</c:v>
                </c:pt>
              </c:numCache>
            </c:numRef>
          </c:val>
          <c:extLst>
            <c:ext xmlns:c16="http://schemas.microsoft.com/office/drawing/2014/chart" uri="{C3380CC4-5D6E-409C-BE32-E72D297353CC}">
              <c16:uniqueId val="{0000000F-0D9B-4ED5-8D59-A5BC080CCAD9}"/>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88837489063867081"/>
          <c:y val="0.219377642189682"/>
          <c:w val="9.9370207400545432E-2"/>
          <c:h val="0.64965341231997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a:pPr>
      <a:endParaRPr lang="tr-T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Grafik-19 PGD Kuruluşları Bazında Teste Gönderilen Ürünler İçerisinde Güvensiz Bulunanların Oranı (%)</a:t>
            </a:r>
            <a:endParaRPr lang="tr-TR">
              <a:effectLst/>
            </a:endParaRPr>
          </a:p>
        </c:rich>
      </c:tx>
      <c:layout/>
      <c:overlay val="0"/>
      <c:spPr>
        <a:noFill/>
        <a:ln>
          <a:noFill/>
        </a:ln>
        <a:effectLst/>
      </c:spPr>
    </c:title>
    <c:autoTitleDeleted val="0"/>
    <c:plotArea>
      <c:layout/>
      <c:barChart>
        <c:barDir val="bar"/>
        <c:grouping val="clustered"/>
        <c:varyColors val="0"/>
        <c:ser>
          <c:idx val="0"/>
          <c:order val="0"/>
          <c:tx>
            <c:strRef>
              <c:f>'19.Testte güvensiz %'!$A$3</c:f>
              <c:strCache>
                <c:ptCount val="1"/>
                <c:pt idx="0">
                  <c:v>STB</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'19.Testte güvensiz %'!$B$3</c:f>
              <c:numCache>
                <c:formatCode>0</c:formatCode>
                <c:ptCount val="1"/>
                <c:pt idx="0">
                  <c:v>13.001605136436597</c:v>
                </c:pt>
              </c:numCache>
            </c:numRef>
          </c:val>
          <c:extLst>
            <c:ext xmlns:c16="http://schemas.microsoft.com/office/drawing/2014/chart" uri="{C3380CC4-5D6E-409C-BE32-E72D297353CC}">
              <c16:uniqueId val="{00000000-3D06-4BDA-ABB0-D0A3C0BBD13A}"/>
            </c:ext>
          </c:extLst>
        </c:ser>
        <c:ser>
          <c:idx val="1"/>
          <c:order val="1"/>
          <c:tx>
            <c:strRef>
              <c:f>'19.Testte güvensiz %'!$A$4</c:f>
              <c:strCache>
                <c:ptCount val="1"/>
                <c:pt idx="0">
                  <c:v>AÇSHB</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extLst>
                <c:ext xmlns:c16="http://schemas.microsoft.com/office/drawing/2014/chart" uri="{C3380CC4-5D6E-409C-BE32-E72D297353CC}">
                  <c16:uniqueId val="{00000000-F89F-4A75-95CB-CE031582ED4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'19.Testte güvensiz %'!$B$4</c:f>
              <c:numCache>
                <c:formatCode>0</c:formatCode>
                <c:ptCount val="1"/>
                <c:pt idx="0">
                  <c:v>16.666666666666664</c:v>
                </c:pt>
              </c:numCache>
            </c:numRef>
          </c:val>
          <c:extLst>
            <c:ext xmlns:c16="http://schemas.microsoft.com/office/drawing/2014/chart" uri="{C3380CC4-5D6E-409C-BE32-E72D297353CC}">
              <c16:uniqueId val="{00000002-3D06-4BDA-ABB0-D0A3C0BBD13A}"/>
            </c:ext>
          </c:extLst>
        </c:ser>
        <c:ser>
          <c:idx val="2"/>
          <c:order val="2"/>
          <c:tx>
            <c:strRef>
              <c:f>'19.Testte güvensiz %'!$A$5</c:f>
              <c:strCache>
                <c:ptCount val="1"/>
                <c:pt idx="0">
                  <c:v>ÇŞB</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'19.Testte güvensiz %'!$B$5</c:f>
              <c:numCache>
                <c:formatCode>0</c:formatCode>
                <c:ptCount val="1"/>
                <c:pt idx="0">
                  <c:v>5.6209646790732943</c:v>
                </c:pt>
              </c:numCache>
            </c:numRef>
          </c:val>
          <c:extLst>
            <c:ext xmlns:c16="http://schemas.microsoft.com/office/drawing/2014/chart" uri="{C3380CC4-5D6E-409C-BE32-E72D297353CC}">
              <c16:uniqueId val="{00000003-3D06-4BDA-ABB0-D0A3C0BBD13A}"/>
            </c:ext>
          </c:extLst>
        </c:ser>
        <c:ser>
          <c:idx val="3"/>
          <c:order val="3"/>
          <c:tx>
            <c:strRef>
              <c:f>'19.Testte güvensiz %'!$A$6</c:f>
              <c:strCache>
                <c:ptCount val="1"/>
                <c:pt idx="0">
                  <c:v>TKPGGM</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'19.Testte güvensiz %'!$B$6</c:f>
              <c:numCache>
                <c:formatCode>0</c:formatCode>
                <c:ptCount val="1"/>
                <c:pt idx="0">
                  <c:v>28.21782178217823</c:v>
                </c:pt>
              </c:numCache>
            </c:numRef>
          </c:val>
          <c:extLst>
            <c:ext xmlns:c16="http://schemas.microsoft.com/office/drawing/2014/chart" uri="{C3380CC4-5D6E-409C-BE32-E72D297353CC}">
              <c16:uniqueId val="{00000004-3D06-4BDA-ABB0-D0A3C0BBD13A}"/>
            </c:ext>
          </c:extLst>
        </c:ser>
        <c:ser>
          <c:idx val="4"/>
          <c:order val="4"/>
          <c:tx>
            <c:strRef>
              <c:f>'19.Testte güvensiz %'!$A$7</c:f>
              <c:strCache>
                <c:ptCount val="1"/>
                <c:pt idx="0">
                  <c:v>SB</c:v>
                </c:pt>
              </c:strCache>
            </c:strRef>
          </c:tx>
          <c:spPr>
            <a:solidFill>
              <a:schemeClr val="accent5">
                <a:alpha val="85000"/>
              </a:schemeClr>
            </a:solidFill>
            <a:ln w="9525" cap="flat" cmpd="sng" algn="ctr">
              <a:solidFill>
                <a:schemeClr val="lt1">
                  <a:alpha val="50000"/>
                </a:schemeClr>
              </a:solidFill>
              <a:round/>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extLst>
                <c:ext xmlns:c16="http://schemas.microsoft.com/office/drawing/2014/chart" uri="{C3380CC4-5D6E-409C-BE32-E72D297353CC}">
                  <c16:uniqueId val="{00000001-F89F-4A75-95CB-CE031582ED44}"/>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'19.Testte güvensiz %'!$B$7</c:f>
              <c:numCache>
                <c:formatCode>0</c:formatCode>
                <c:ptCount val="1"/>
                <c:pt idx="0">
                  <c:v>19.745222929936283</c:v>
                </c:pt>
              </c:numCache>
            </c:numRef>
          </c:val>
          <c:extLst>
            <c:ext xmlns:c16="http://schemas.microsoft.com/office/drawing/2014/chart" uri="{C3380CC4-5D6E-409C-BE32-E72D297353CC}">
              <c16:uniqueId val="{00000006-3D06-4BDA-ABB0-D0A3C0BBD13A}"/>
            </c:ext>
          </c:extLst>
        </c:ser>
        <c:ser>
          <c:idx val="5"/>
          <c:order val="5"/>
          <c:tx>
            <c:strRef>
              <c:f>'19.Testte güvensiz %'!$A$8</c:f>
              <c:strCache>
                <c:ptCount val="1"/>
                <c:pt idx="0">
                  <c:v>UAB</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'19.Testte güvensiz %'!$B$8</c:f>
              <c:numCache>
                <c:formatCode>0.00</c:formatCode>
                <c:ptCount val="1"/>
                <c:pt idx="0">
                  <c:v>0</c:v>
                </c:pt>
              </c:numCache>
            </c:numRef>
          </c:val>
          <c:extLst>
            <c:ext xmlns:c16="http://schemas.microsoft.com/office/drawing/2014/chart" uri="{C3380CC4-5D6E-409C-BE32-E72D297353CC}">
              <c16:uniqueId val="{00000007-3D06-4BDA-ABB0-D0A3C0BBD13A}"/>
            </c:ext>
          </c:extLst>
        </c:ser>
        <c:ser>
          <c:idx val="6"/>
          <c:order val="6"/>
          <c:tx>
            <c:strRef>
              <c:f>'19.Testte güvensiz %'!$A$9</c:f>
              <c:strCache>
                <c:ptCount val="1"/>
                <c:pt idx="0">
                  <c:v>BTK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val>
            <c:numRef>
              <c:f>'19.Testte güvensiz %'!$B$9</c:f>
              <c:numCache>
                <c:formatCode>0.00</c:formatCode>
                <c:ptCount val="1"/>
                <c:pt idx="0">
                  <c:v>0.55979643765903386</c:v>
                </c:pt>
              </c:numCache>
            </c:numRef>
          </c:val>
          <c:extLst>
            <c:ext xmlns:c16="http://schemas.microsoft.com/office/drawing/2014/chart" uri="{C3380CC4-5D6E-409C-BE32-E72D297353CC}">
              <c16:uniqueId val="{00000008-3D06-4BDA-ABB0-D0A3C0BBD13A}"/>
            </c:ext>
          </c:extLst>
        </c:ser>
        <c:dLbls>
          <c:showLegendKey val="0"/>
          <c:showVal val="1"/>
          <c:showCatName val="0"/>
          <c:showSerName val="0"/>
          <c:showPercent val="0"/>
          <c:showBubbleSize val="0"/>
        </c:dLbls>
        <c:gapWidth val="65"/>
        <c:axId val="207486976"/>
        <c:axId val="207488512"/>
      </c:barChart>
      <c:catAx>
        <c:axId val="2074869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07488512"/>
        <c:crosses val="autoZero"/>
        <c:auto val="1"/>
        <c:lblAlgn val="ctr"/>
        <c:lblOffset val="100"/>
        <c:noMultiLvlLbl val="0"/>
      </c:catAx>
      <c:valAx>
        <c:axId val="20748851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07486976"/>
        <c:crosses val="autoZero"/>
        <c:crossBetween val="between"/>
      </c:valAx>
      <c:spPr>
        <a:noFill/>
        <a:ln>
          <a:noFill/>
        </a:ln>
        <a:effectLst/>
      </c:spPr>
    </c:plotArea>
    <c:legend>
      <c:legendPos val="l"/>
      <c:layout>
        <c:manualLayout>
          <c:xMode val="edge"/>
          <c:yMode val="edge"/>
          <c:x val="8.7336244541484746E-3"/>
          <c:y val="0.31693657185360014"/>
          <c:w val="6.908388539115283E-2"/>
          <c:h val="0.5130329067172787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Grafik-2 Kuruluş Bazında Temel Faktörlerdeki Değişim (2018-2019)  (%)</a:t>
            </a:r>
          </a:p>
        </c:rich>
      </c:tx>
      <c:layout/>
      <c:overlay val="0"/>
      <c:spPr>
        <a:noFill/>
        <a:ln>
          <a:noFill/>
        </a:ln>
        <a:effectLst/>
      </c:spPr>
    </c:title>
    <c:autoTitleDeleted val="0"/>
    <c:plotArea>
      <c:layout>
        <c:manualLayout>
          <c:layoutTarget val="inner"/>
          <c:xMode val="edge"/>
          <c:yMode val="edge"/>
          <c:x val="5.1540829592562516E-2"/>
          <c:y val="0.14155597722960137"/>
          <c:w val="0.96573208722741433"/>
          <c:h val="0.62251679640614188"/>
        </c:manualLayout>
      </c:layout>
      <c:barChart>
        <c:barDir val="col"/>
        <c:grouping val="clustered"/>
        <c:varyColors val="0"/>
        <c:ser>
          <c:idx val="0"/>
          <c:order val="0"/>
          <c:tx>
            <c:strRef>
              <c:f>'2 Kuruluş Bazında Temel Fak (2'!$B$18</c:f>
              <c:strCache>
                <c:ptCount val="1"/>
                <c:pt idx="0">
                  <c:v>Kaynak Miktarındaki Değişim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'2 Kuruluş Bazında Temel Fak (2'!$A$19:$A$26</c:f>
              <c:strCache>
                <c:ptCount val="8"/>
                <c:pt idx="0">
                  <c:v>STB</c:v>
                </c:pt>
                <c:pt idx="1">
                  <c:v>AÇSHB</c:v>
                </c:pt>
                <c:pt idx="2">
                  <c:v>ÇŞB</c:v>
                </c:pt>
                <c:pt idx="3">
                  <c:v>TOB</c:v>
                </c:pt>
                <c:pt idx="4">
                  <c:v>TKPGGM</c:v>
                </c:pt>
                <c:pt idx="5">
                  <c:v>SB</c:v>
                </c:pt>
                <c:pt idx="6">
                  <c:v>UAB</c:v>
                </c:pt>
                <c:pt idx="7">
                  <c:v>BTK</c:v>
                </c:pt>
              </c:strCache>
            </c:strRef>
          </c:cat>
          <c:val>
            <c:numRef>
              <c:f>'2 Kuruluş Bazında Temel Fak (2'!$B$19:$B$26</c:f>
              <c:numCache>
                <c:formatCode>0</c:formatCode>
                <c:ptCount val="8"/>
                <c:pt idx="0">
                  <c:v>27.362894547112219</c:v>
                </c:pt>
                <c:pt idx="1">
                  <c:v>-14.409205238659702</c:v>
                </c:pt>
                <c:pt idx="2">
                  <c:v>19</c:v>
                </c:pt>
                <c:pt idx="3">
                  <c:v>-50.531344779783595</c:v>
                </c:pt>
                <c:pt idx="4">
                  <c:v>-43.848339116836932</c:v>
                </c:pt>
                <c:pt idx="5">
                  <c:v>-44.295801172290595</c:v>
                </c:pt>
                <c:pt idx="6">
                  <c:v>7.5214707461084265</c:v>
                </c:pt>
                <c:pt idx="7">
                  <c:v>516.29001713409684</c:v>
                </c:pt>
              </c:numCache>
            </c:numRef>
          </c:val>
          <c:extLst>
            <c:ext xmlns:c16="http://schemas.microsoft.com/office/drawing/2014/chart" uri="{C3380CC4-5D6E-409C-BE32-E72D297353CC}">
              <c16:uniqueId val="{00000000-3336-4E2F-BE6D-6F1EF8717828}"/>
            </c:ext>
          </c:extLst>
        </c:ser>
        <c:ser>
          <c:idx val="1"/>
          <c:order val="1"/>
          <c:tx>
            <c:strRef>
              <c:f>'2 Kuruluş Bazında Temel Fak (2'!$C$18</c:f>
              <c:strCache>
                <c:ptCount val="1"/>
                <c:pt idx="0">
                  <c:v>Fiili Personel Sayısındaki Değişim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'2 Kuruluş Bazında Temel Fak (2'!$A$19:$A$26</c:f>
              <c:strCache>
                <c:ptCount val="8"/>
                <c:pt idx="0">
                  <c:v>STB</c:v>
                </c:pt>
                <c:pt idx="1">
                  <c:v>AÇSHB</c:v>
                </c:pt>
                <c:pt idx="2">
                  <c:v>ÇŞB</c:v>
                </c:pt>
                <c:pt idx="3">
                  <c:v>TOB</c:v>
                </c:pt>
                <c:pt idx="4">
                  <c:v>TKPGGM</c:v>
                </c:pt>
                <c:pt idx="5">
                  <c:v>SB</c:v>
                </c:pt>
                <c:pt idx="6">
                  <c:v>UAB</c:v>
                </c:pt>
                <c:pt idx="7">
                  <c:v>BTK</c:v>
                </c:pt>
              </c:strCache>
            </c:strRef>
          </c:cat>
          <c:val>
            <c:numRef>
              <c:f>'2 Kuruluş Bazında Temel Fak (2'!$C$19:$C$26</c:f>
              <c:numCache>
                <c:formatCode>0</c:formatCode>
                <c:ptCount val="8"/>
                <c:pt idx="0">
                  <c:v>3.5505617977528092</c:v>
                </c:pt>
                <c:pt idx="1">
                  <c:v>8.8888888888888893</c:v>
                </c:pt>
                <c:pt idx="2">
                  <c:v>98.787878787878782</c:v>
                </c:pt>
                <c:pt idx="3">
                  <c:v>-23.89438226665219</c:v>
                </c:pt>
                <c:pt idx="4">
                  <c:v>-0.89285714285714257</c:v>
                </c:pt>
                <c:pt idx="5">
                  <c:v>-96.200185356811858</c:v>
                </c:pt>
                <c:pt idx="6">
                  <c:v>72.222222222222214</c:v>
                </c:pt>
                <c:pt idx="7">
                  <c:v>0</c:v>
                </c:pt>
              </c:numCache>
            </c:numRef>
          </c:val>
          <c:extLst>
            <c:ext xmlns:c16="http://schemas.microsoft.com/office/drawing/2014/chart" uri="{C3380CC4-5D6E-409C-BE32-E72D297353CC}">
              <c16:uniqueId val="{00000001-3336-4E2F-BE6D-6F1EF8717828}"/>
            </c:ext>
          </c:extLst>
        </c:ser>
        <c:ser>
          <c:idx val="2"/>
          <c:order val="2"/>
          <c:tx>
            <c:strRef>
              <c:f>'2 Kuruluş Bazında Temel Fak (2'!$D$18</c:f>
              <c:strCache>
                <c:ptCount val="1"/>
                <c:pt idx="0">
                  <c:v>Denetlenen Ürün Sayısındaki Değişim</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'2 Kuruluş Bazında Temel Fak (2'!$A$19:$A$26</c:f>
              <c:strCache>
                <c:ptCount val="8"/>
                <c:pt idx="0">
                  <c:v>STB</c:v>
                </c:pt>
                <c:pt idx="1">
                  <c:v>AÇSHB</c:v>
                </c:pt>
                <c:pt idx="2">
                  <c:v>ÇŞB</c:v>
                </c:pt>
                <c:pt idx="3">
                  <c:v>TOB</c:v>
                </c:pt>
                <c:pt idx="4">
                  <c:v>TKPGGM</c:v>
                </c:pt>
                <c:pt idx="5">
                  <c:v>SB</c:v>
                </c:pt>
                <c:pt idx="6">
                  <c:v>UAB</c:v>
                </c:pt>
                <c:pt idx="7">
                  <c:v>BTK</c:v>
                </c:pt>
              </c:strCache>
            </c:strRef>
          </c:cat>
          <c:val>
            <c:numRef>
              <c:f>'2 Kuruluş Bazında Temel Fak (2'!$D$19:$D$26</c:f>
              <c:numCache>
                <c:formatCode>0</c:formatCode>
                <c:ptCount val="8"/>
                <c:pt idx="0">
                  <c:v>7.9485959067110885</c:v>
                </c:pt>
                <c:pt idx="1">
                  <c:v>-44.261213720316626</c:v>
                </c:pt>
                <c:pt idx="2">
                  <c:v>8.7456159988060591</c:v>
                </c:pt>
                <c:pt idx="3">
                  <c:v>25.161079313164333</c:v>
                </c:pt>
                <c:pt idx="4">
                  <c:v>47.01696770662285</c:v>
                </c:pt>
                <c:pt idx="5">
                  <c:v>-5.468863698840579</c:v>
                </c:pt>
                <c:pt idx="6">
                  <c:v>-0.72463768115942062</c:v>
                </c:pt>
                <c:pt idx="7">
                  <c:v>7.249255213505462</c:v>
                </c:pt>
              </c:numCache>
            </c:numRef>
          </c:val>
          <c:extLst>
            <c:ext xmlns:c16="http://schemas.microsoft.com/office/drawing/2014/chart" uri="{C3380CC4-5D6E-409C-BE32-E72D297353CC}">
              <c16:uniqueId val="{00000002-3336-4E2F-BE6D-6F1EF8717828}"/>
            </c:ext>
          </c:extLst>
        </c:ser>
        <c:ser>
          <c:idx val="3"/>
          <c:order val="3"/>
          <c:tx>
            <c:strRef>
              <c:f>'2 Kuruluş Bazında Temel Fak (2'!$E$18</c:f>
              <c:strCache>
                <c:ptCount val="1"/>
                <c:pt idx="0">
                  <c:v>Tespit Edilen Uygunsuz/Güvensiz Ürünlerdeki Değişim</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'2 Kuruluş Bazında Temel Fak (2'!$A$19:$A$26</c:f>
              <c:strCache>
                <c:ptCount val="8"/>
                <c:pt idx="0">
                  <c:v>STB</c:v>
                </c:pt>
                <c:pt idx="1">
                  <c:v>AÇSHB</c:v>
                </c:pt>
                <c:pt idx="2">
                  <c:v>ÇŞB</c:v>
                </c:pt>
                <c:pt idx="3">
                  <c:v>TOB</c:v>
                </c:pt>
                <c:pt idx="4">
                  <c:v>TKPGGM</c:v>
                </c:pt>
                <c:pt idx="5">
                  <c:v>SB</c:v>
                </c:pt>
                <c:pt idx="6">
                  <c:v>UAB</c:v>
                </c:pt>
                <c:pt idx="7">
                  <c:v>BTK</c:v>
                </c:pt>
              </c:strCache>
            </c:strRef>
          </c:cat>
          <c:val>
            <c:numRef>
              <c:f>'2 Kuruluş Bazında Temel Fak (2'!$E$19:$E$26</c:f>
              <c:numCache>
                <c:formatCode>0</c:formatCode>
                <c:ptCount val="8"/>
                <c:pt idx="0">
                  <c:v>-14.421329941860456</c:v>
                </c:pt>
                <c:pt idx="1">
                  <c:v>-52.616279069767394</c:v>
                </c:pt>
                <c:pt idx="2">
                  <c:v>4.9845201238390091</c:v>
                </c:pt>
                <c:pt idx="3">
                  <c:v>13.544993424760463</c:v>
                </c:pt>
                <c:pt idx="4">
                  <c:v>-33.29207920792085</c:v>
                </c:pt>
                <c:pt idx="5">
                  <c:v>-26.386878919440445</c:v>
                </c:pt>
                <c:pt idx="6">
                  <c:v>-45.833333333333329</c:v>
                </c:pt>
                <c:pt idx="7">
                  <c:v>-18.59410430839003</c:v>
                </c:pt>
              </c:numCache>
            </c:numRef>
          </c:val>
          <c:extLst>
            <c:ext xmlns:c16="http://schemas.microsoft.com/office/drawing/2014/chart" uri="{C3380CC4-5D6E-409C-BE32-E72D297353CC}">
              <c16:uniqueId val="{00000003-3336-4E2F-BE6D-6F1EF8717828}"/>
            </c:ext>
          </c:extLst>
        </c:ser>
        <c:dLbls>
          <c:showLegendKey val="0"/>
          <c:showVal val="1"/>
          <c:showCatName val="0"/>
          <c:showSerName val="0"/>
          <c:showPercent val="0"/>
          <c:showBubbleSize val="0"/>
        </c:dLbls>
        <c:gapWidth val="65"/>
        <c:axId val="197799296"/>
        <c:axId val="197805184"/>
      </c:barChart>
      <c:catAx>
        <c:axId val="197799296"/>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b" anchorCtr="1"/>
          <a:lstStyle/>
          <a:p>
            <a:pPr>
              <a:defRPr sz="900" b="1" i="0" u="none" strike="noStrike" kern="1200" cap="all" baseline="0">
                <a:solidFill>
                  <a:sysClr val="windowText" lastClr="000000"/>
                </a:solidFill>
                <a:latin typeface="+mn-lt"/>
                <a:ea typeface="+mn-ea"/>
                <a:cs typeface="+mn-cs"/>
              </a:defRPr>
            </a:pPr>
            <a:endParaRPr lang="tr-TR"/>
          </a:p>
        </c:txPr>
        <c:crossAx val="197805184"/>
        <c:crosses val="autoZero"/>
        <c:auto val="1"/>
        <c:lblAlgn val="ctr"/>
        <c:lblOffset val="100"/>
        <c:tickLblSkip val="1"/>
        <c:noMultiLvlLbl val="0"/>
      </c:catAx>
      <c:valAx>
        <c:axId val="19780518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97799296"/>
        <c:crosses val="autoZero"/>
        <c:crossBetween val="between"/>
      </c:valAx>
      <c:spPr>
        <a:noFill/>
        <a:ln>
          <a:noFill/>
        </a:ln>
        <a:effectLst/>
      </c:spPr>
    </c:plotArea>
    <c:legend>
      <c:legendPos val="b"/>
      <c:layout>
        <c:manualLayout>
          <c:xMode val="edge"/>
          <c:yMode val="edge"/>
          <c:x val="3.888888888888889E-2"/>
          <c:y val="0.93181768291344402"/>
          <c:w val="0.9"/>
          <c:h val="6.8182317086555977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Grafik-20 TOB Tarafından Denetlenen Ürünler  İçerisinde Teste Tabi Tutulanlar</a:t>
            </a:r>
          </a:p>
        </c:rich>
      </c:tx>
      <c:layout/>
      <c:overlay val="0"/>
      <c:spPr>
        <a:noFill/>
        <a:ln>
          <a:noFill/>
        </a:ln>
        <a:effectLst/>
      </c:spPr>
    </c:title>
    <c:autoTitleDeleted val="0"/>
    <c:plotArea>
      <c:layout/>
      <c:ofPieChart>
        <c:ofPieType val="bar"/>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5CF-49B2-BDAF-92A69FC2CA1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5CF-49B2-BDAF-92A69FC2CA1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5CF-49B2-BDAF-92A69FC2CA1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5CF-49B2-BDAF-92A69FC2CA10}"/>
              </c:ext>
            </c:extLst>
          </c:dPt>
          <c:dPt>
            <c:idx val="4"/>
            <c:bubble3D val="0"/>
            <c:explosion val="14"/>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5CF-49B2-BDAF-92A69FC2CA1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'20.GTHB tar. den. teste tabi'!$C$6:$F$6</c:f>
              <c:strCache>
                <c:ptCount val="4"/>
                <c:pt idx="0">
                  <c:v>Teste Tabi Tutulmayan Ürünler</c:v>
                </c:pt>
                <c:pt idx="1">
                  <c:v>Teste Tabi Tutulan Ürünler</c:v>
                </c:pt>
                <c:pt idx="2">
                  <c:v>Uygun Bulunan Ürünler</c:v>
                </c:pt>
                <c:pt idx="3">
                  <c:v>Güvensiz Bulunan Ürünler</c:v>
                </c:pt>
              </c:strCache>
            </c:strRef>
          </c:cat>
          <c:val>
            <c:numRef>
              <c:f>'20.GTHB tar. den. teste tabi'!$C$7:$F$7</c:f>
              <c:numCache>
                <c:formatCode>General</c:formatCode>
                <c:ptCount val="4"/>
                <c:pt idx="0">
                  <c:v>52535</c:v>
                </c:pt>
                <c:pt idx="2">
                  <c:v>108760</c:v>
                </c:pt>
                <c:pt idx="3">
                  <c:v>1222</c:v>
                </c:pt>
              </c:numCache>
            </c:numRef>
          </c:val>
          <c:extLst>
            <c:ext xmlns:c16="http://schemas.microsoft.com/office/drawing/2014/chart" uri="{C3380CC4-5D6E-409C-BE32-E72D297353CC}">
              <c16:uniqueId val="{0000000A-E5CF-49B2-BDAF-92A69FC2CA10}"/>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tr-TR" sz="1800" b="1" i="0" baseline="0">
                <a:solidFill>
                  <a:sysClr val="windowText" lastClr="000000"/>
                </a:solidFill>
                <a:effectLst/>
              </a:rPr>
              <a:t>Grafik 21 - </a:t>
            </a:r>
            <a:r>
              <a:rPr lang="en-US" sz="1800" b="1" i="0" baseline="0">
                <a:solidFill>
                  <a:sysClr val="windowText" lastClr="000000"/>
                </a:solidFill>
                <a:effectLst/>
              </a:rPr>
              <a:t>Uygulanan Para Ceza</a:t>
            </a:r>
            <a:r>
              <a:rPr lang="tr-TR" sz="1800" b="1" i="0" baseline="0">
                <a:solidFill>
                  <a:sysClr val="windowText" lastClr="000000"/>
                </a:solidFill>
                <a:effectLst/>
              </a:rPr>
              <a:t>ları </a:t>
            </a:r>
          </a:p>
          <a:p>
            <a:pPr>
              <a:defRPr sz="1400" b="0" i="0" u="none" strike="noStrike" kern="1200" spc="0" baseline="0">
                <a:solidFill>
                  <a:sysClr val="windowText" lastClr="000000"/>
                </a:solidFill>
                <a:latin typeface="+mn-lt"/>
                <a:ea typeface="+mn-ea"/>
                <a:cs typeface="+mn-cs"/>
              </a:defRPr>
            </a:pPr>
            <a:r>
              <a:rPr lang="tr-TR" sz="1800" b="1" i="0" baseline="0">
                <a:solidFill>
                  <a:sysClr val="windowText" lastClr="000000"/>
                </a:solidFill>
                <a:effectLst/>
              </a:rPr>
              <a:t>(Milyon TL)</a:t>
            </a:r>
            <a:endParaRPr lang="tr-TR">
              <a:solidFill>
                <a:sysClr val="windowText" lastClr="000000"/>
              </a:solidFill>
              <a:effectLst/>
            </a:endParaRPr>
          </a:p>
        </c:rich>
      </c:tx>
      <c:layout/>
      <c:overlay val="0"/>
      <c:spPr>
        <a:noFill/>
        <a:ln>
          <a:noFill/>
        </a:ln>
        <a:effectLst/>
      </c:spPr>
    </c:title>
    <c:autoTitleDeleted val="0"/>
    <c:plotArea>
      <c:layout>
        <c:manualLayout>
          <c:layoutTarget val="inner"/>
          <c:xMode val="edge"/>
          <c:yMode val="edge"/>
          <c:x val="0.13617738081247308"/>
          <c:y val="0.14911854281021109"/>
          <c:w val="0.8578524699337956"/>
          <c:h val="0.65445779803840309"/>
        </c:manualLayout>
      </c:layout>
      <c:barChart>
        <c:barDir val="col"/>
        <c:grouping val="clustered"/>
        <c:varyColors val="0"/>
        <c:ser>
          <c:idx val="0"/>
          <c:order val="0"/>
          <c:tx>
            <c:strRef>
              <c:f>'22 Uygulanan Para Cezaları'!$A$4</c:f>
              <c:strCache>
                <c:ptCount val="1"/>
                <c:pt idx="0">
                  <c:v>Uygunsuz Ürünlere Uygulanan Para Cezası</c:v>
                </c:pt>
              </c:strCache>
            </c:strRef>
          </c:tx>
          <c:spPr>
            <a:solidFill>
              <a:schemeClr val="accent1"/>
            </a:solidFill>
            <a:ln>
              <a:noFill/>
            </a:ln>
            <a:effectLst/>
            <a:scene3d>
              <a:camera prst="orthographicFront"/>
              <a:lightRig rig="threePt" dir="t"/>
            </a:scene3d>
            <a:sp3d>
              <a:bevelT w="190500" h="381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 Uygulanan Para Cezaları'!$B$3:$D$3</c:f>
              <c:numCache>
                <c:formatCode>General</c:formatCode>
                <c:ptCount val="3"/>
                <c:pt idx="0">
                  <c:v>2017</c:v>
                </c:pt>
                <c:pt idx="1">
                  <c:v>2018</c:v>
                </c:pt>
                <c:pt idx="2">
                  <c:v>2019</c:v>
                </c:pt>
              </c:numCache>
            </c:numRef>
          </c:cat>
          <c:val>
            <c:numRef>
              <c:f>'22 Uygulanan Para Cezaları'!$B$4:$D$4</c:f>
              <c:numCache>
                <c:formatCode>General</c:formatCode>
                <c:ptCount val="3"/>
                <c:pt idx="0" formatCode="#,##0">
                  <c:v>102438497</c:v>
                </c:pt>
                <c:pt idx="1">
                  <c:v>126084841</c:v>
                </c:pt>
                <c:pt idx="2" formatCode="#,##0">
                  <c:v>140190318</c:v>
                </c:pt>
              </c:numCache>
            </c:numRef>
          </c:val>
          <c:extLst>
            <c:ext xmlns:c16="http://schemas.microsoft.com/office/drawing/2014/chart" uri="{C3380CC4-5D6E-409C-BE32-E72D297353CC}">
              <c16:uniqueId val="{00000000-07DD-4A8B-B1E0-45C943FDA328}"/>
            </c:ext>
          </c:extLst>
        </c:ser>
        <c:ser>
          <c:idx val="1"/>
          <c:order val="1"/>
          <c:tx>
            <c:strRef>
              <c:f>'22 Uygulanan Para Cezaları'!$A$5</c:f>
              <c:strCache>
                <c:ptCount val="1"/>
                <c:pt idx="0">
                  <c:v>Güvensiz Ürünlere Uygulanan Para Cezası</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'22 Uygulanan Para Cezaları'!$B$3:$D$3</c:f>
              <c:numCache>
                <c:formatCode>General</c:formatCode>
                <c:ptCount val="3"/>
                <c:pt idx="0">
                  <c:v>2017</c:v>
                </c:pt>
                <c:pt idx="1">
                  <c:v>2018</c:v>
                </c:pt>
                <c:pt idx="2">
                  <c:v>2019</c:v>
                </c:pt>
              </c:numCache>
            </c:numRef>
          </c:cat>
          <c:val>
            <c:numRef>
              <c:f>'22 Uygulanan Para Cezaları'!$B$5:$D$5</c:f>
              <c:numCache>
                <c:formatCode>General</c:formatCode>
                <c:ptCount val="3"/>
                <c:pt idx="0">
                  <c:v>13399833</c:v>
                </c:pt>
                <c:pt idx="1">
                  <c:v>22851201</c:v>
                </c:pt>
                <c:pt idx="2" formatCode="#,##0">
                  <c:v>39883240</c:v>
                </c:pt>
              </c:numCache>
            </c:numRef>
          </c:val>
          <c:extLst>
            <c:ext xmlns:c16="http://schemas.microsoft.com/office/drawing/2014/chart" uri="{C3380CC4-5D6E-409C-BE32-E72D297353CC}">
              <c16:uniqueId val="{00000001-07DD-4A8B-B1E0-45C943FDA328}"/>
            </c:ext>
          </c:extLst>
        </c:ser>
        <c:dLbls>
          <c:showLegendKey val="0"/>
          <c:showVal val="0"/>
          <c:showCatName val="0"/>
          <c:showSerName val="0"/>
          <c:showPercent val="0"/>
          <c:showBubbleSize val="0"/>
        </c:dLbls>
        <c:gapWidth val="219"/>
        <c:overlap val="-27"/>
        <c:axId val="207577472"/>
        <c:axId val="207579008"/>
      </c:barChart>
      <c:catAx>
        <c:axId val="207577472"/>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7579008"/>
        <c:crosses val="autoZero"/>
        <c:auto val="1"/>
        <c:lblAlgn val="ctr"/>
        <c:lblOffset val="100"/>
        <c:noMultiLvlLbl val="0"/>
      </c:catAx>
      <c:valAx>
        <c:axId val="207579008"/>
        <c:scaling>
          <c:orientation val="minMax"/>
        </c:scaling>
        <c:delete val="0"/>
        <c:axPos val="l"/>
        <c:majorGridlines>
          <c:spPr>
            <a:ln w="9525" cap="flat" cmpd="sng" algn="ctr">
              <a:solidFill>
                <a:schemeClr val="bg1">
                  <a:lumMod val="7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7577472"/>
        <c:crosses val="autoZero"/>
        <c:crossBetween val="between"/>
      </c:valAx>
      <c:spPr>
        <a:noFill/>
        <a:ln>
          <a:solidFill>
            <a:schemeClr val="bg1">
              <a:lumMod val="50000"/>
            </a:schemeClr>
          </a:solidFill>
        </a:ln>
        <a:effectLst/>
      </c:spPr>
    </c:plotArea>
    <c:legend>
      <c:legendPos val="b"/>
      <c:layout>
        <c:manualLayout>
          <c:xMode val="edge"/>
          <c:yMode val="edge"/>
          <c:x val="0.11730230736083362"/>
          <c:y val="0.89802597043790577"/>
          <c:w val="0.77733552708896458"/>
          <c:h val="4.93424506147257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lumMod val="85000"/>
      </a:schemeClr>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tr-TR" sz="1800"/>
              <a:t>Grafik-22 Kuruluşların Uygunsuz/Güvensiz Ürünlerde İdari Para Cezası  Uygulama Oranları (%)</a:t>
            </a:r>
          </a:p>
        </c:rich>
      </c:tx>
      <c:layout/>
      <c:overlay val="0"/>
      <c:spPr>
        <a:noFill/>
        <a:ln>
          <a:noFill/>
        </a:ln>
        <a:effectLst/>
      </c:spPr>
    </c:title>
    <c:autoTitleDeleted val="0"/>
    <c:plotArea>
      <c:layout/>
      <c:barChart>
        <c:barDir val="col"/>
        <c:grouping val="clustered"/>
        <c:varyColors val="0"/>
        <c:ser>
          <c:idx val="0"/>
          <c:order val="0"/>
          <c:tx>
            <c:strRef>
              <c:f>'İPC kuruluş bazında'!$H$2</c:f>
              <c:strCache>
                <c:ptCount val="1"/>
                <c:pt idx="0">
                  <c:v>Güvensiz Ürünlerde İPC Uygulama Oranı</c:v>
                </c:pt>
              </c:strCache>
            </c:strRef>
          </c:tx>
          <c:spPr>
            <a:solidFill>
              <a:schemeClr val="accent1">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'İPC kuruluş bazında'!$G$3:$G$9</c:f>
              <c:strCache>
                <c:ptCount val="7"/>
                <c:pt idx="0">
                  <c:v>STB</c:v>
                </c:pt>
                <c:pt idx="1">
                  <c:v>AÇSHB</c:v>
                </c:pt>
                <c:pt idx="2">
                  <c:v>ÇŞB</c:v>
                </c:pt>
                <c:pt idx="3">
                  <c:v>TKPGGM</c:v>
                </c:pt>
                <c:pt idx="4">
                  <c:v>SB</c:v>
                </c:pt>
                <c:pt idx="5">
                  <c:v>UAB</c:v>
                </c:pt>
                <c:pt idx="6">
                  <c:v>BTK</c:v>
                </c:pt>
              </c:strCache>
            </c:strRef>
          </c:cat>
          <c:val>
            <c:numRef>
              <c:f>'İPC kuruluş bazında'!$H$3:$H$9</c:f>
              <c:numCache>
                <c:formatCode>0.00</c:formatCode>
                <c:ptCount val="7"/>
                <c:pt idx="0">
                  <c:v>33.333333333333329</c:v>
                </c:pt>
                <c:pt idx="1">
                  <c:v>100</c:v>
                </c:pt>
                <c:pt idx="2">
                  <c:v>100</c:v>
                </c:pt>
                <c:pt idx="3">
                  <c:v>100</c:v>
                </c:pt>
                <c:pt idx="4">
                  <c:v>96.470588235294088</c:v>
                </c:pt>
                <c:pt idx="5">
                  <c:v>0</c:v>
                </c:pt>
                <c:pt idx="6">
                  <c:v>100</c:v>
                </c:pt>
              </c:numCache>
            </c:numRef>
          </c:val>
          <c:extLst>
            <c:ext xmlns:c16="http://schemas.microsoft.com/office/drawing/2014/chart" uri="{C3380CC4-5D6E-409C-BE32-E72D297353CC}">
              <c16:uniqueId val="{00000000-4446-4774-8E2D-C86709DA112B}"/>
            </c:ext>
          </c:extLst>
        </c:ser>
        <c:ser>
          <c:idx val="1"/>
          <c:order val="1"/>
          <c:tx>
            <c:strRef>
              <c:f>'İPC kuruluş bazında'!$I$2</c:f>
              <c:strCache>
                <c:ptCount val="1"/>
                <c:pt idx="0">
                  <c:v>Uygunsuz Ürünlerde İPC Uygulama Oranı</c:v>
                </c:pt>
              </c:strCache>
            </c:strRef>
          </c:tx>
          <c:spPr>
            <a:solidFill>
              <a:schemeClr val="accent2">
                <a:alpha val="85000"/>
              </a:schemeClr>
            </a:solidFill>
            <a:ln w="9525" cap="flat" cmpd="sng" algn="ctr">
              <a:solidFill>
                <a:schemeClr val="lt1">
                  <a:alpha val="50000"/>
                </a:schemeClr>
              </a:solidFill>
              <a:round/>
            </a:ln>
            <a:effectLst/>
            <a:scene3d>
              <a:camera prst="orthographicFront"/>
              <a:lightRig rig="threePt" dir="t"/>
            </a:scene3d>
            <a:sp3d>
              <a:bevelT w="190500" h="38100"/>
            </a:sp3d>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'İPC kuruluş bazında'!$G$3:$G$9</c:f>
              <c:strCache>
                <c:ptCount val="7"/>
                <c:pt idx="0">
                  <c:v>STB</c:v>
                </c:pt>
                <c:pt idx="1">
                  <c:v>AÇSHB</c:v>
                </c:pt>
                <c:pt idx="2">
                  <c:v>ÇŞB</c:v>
                </c:pt>
                <c:pt idx="3">
                  <c:v>TKPGGM</c:v>
                </c:pt>
                <c:pt idx="4">
                  <c:v>SB</c:v>
                </c:pt>
                <c:pt idx="5">
                  <c:v>UAB</c:v>
                </c:pt>
                <c:pt idx="6">
                  <c:v>BTK</c:v>
                </c:pt>
              </c:strCache>
            </c:strRef>
          </c:cat>
          <c:val>
            <c:numRef>
              <c:f>'İPC kuruluş bazında'!$I$3:$I$9</c:f>
              <c:numCache>
                <c:formatCode>0.00</c:formatCode>
                <c:ptCount val="7"/>
                <c:pt idx="0">
                  <c:v>11.24076651322129</c:v>
                </c:pt>
                <c:pt idx="1">
                  <c:v>18.633540372670794</c:v>
                </c:pt>
                <c:pt idx="2">
                  <c:v>1.9709208400646199</c:v>
                </c:pt>
                <c:pt idx="3">
                  <c:v>0.82987551867220011</c:v>
                </c:pt>
                <c:pt idx="4">
                  <c:v>48.160999306037482</c:v>
                </c:pt>
                <c:pt idx="5">
                  <c:v>15.384615384615385</c:v>
                </c:pt>
                <c:pt idx="6">
                  <c:v>25.742574257425719</c:v>
                </c:pt>
              </c:numCache>
            </c:numRef>
          </c:val>
          <c:extLst>
            <c:ext xmlns:c16="http://schemas.microsoft.com/office/drawing/2014/chart" uri="{C3380CC4-5D6E-409C-BE32-E72D297353CC}">
              <c16:uniqueId val="{00000001-4446-4774-8E2D-C86709DA112B}"/>
            </c:ext>
          </c:extLst>
        </c:ser>
        <c:dLbls>
          <c:showLegendKey val="0"/>
          <c:showVal val="1"/>
          <c:showCatName val="0"/>
          <c:showSerName val="0"/>
          <c:showPercent val="0"/>
          <c:showBubbleSize val="0"/>
        </c:dLbls>
        <c:gapWidth val="65"/>
        <c:axId val="207609216"/>
        <c:axId val="207881344"/>
      </c:barChart>
      <c:catAx>
        <c:axId val="207609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tr-TR"/>
          </a:p>
        </c:txPr>
        <c:crossAx val="207881344"/>
        <c:crosses val="autoZero"/>
        <c:auto val="1"/>
        <c:lblAlgn val="ctr"/>
        <c:lblOffset val="100"/>
        <c:noMultiLvlLbl val="0"/>
      </c:catAx>
      <c:valAx>
        <c:axId val="2078813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20760921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w="190500" h="38100"/>
    </a:sp3d>
  </c:spPr>
  <c:txPr>
    <a:bodyPr/>
    <a:lstStyle/>
    <a:p>
      <a:pPr>
        <a:defRPr sz="1800">
          <a:solidFill>
            <a:sysClr val="windowText" lastClr="000000"/>
          </a:solidFill>
        </a:defRPr>
      </a:pPr>
      <a:endParaRPr lang="tr-T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Grafik-23 Uygulanan Para Cezalarının PGD Kuruluşlarına Göre Dağılımı</a:t>
            </a:r>
          </a:p>
        </c:rich>
      </c:tx>
      <c:layout/>
      <c:overlay val="0"/>
      <c:spPr>
        <a:noFill/>
        <a:ln>
          <a:noFill/>
        </a:ln>
        <a:effectLst/>
      </c:spPr>
    </c:title>
    <c:autoTitleDeleted val="0"/>
    <c:plotArea>
      <c:layout>
        <c:manualLayout>
          <c:layoutTarget val="inner"/>
          <c:xMode val="edge"/>
          <c:yMode val="edge"/>
          <c:x val="0.20218143711703343"/>
          <c:y val="0.28601733614026831"/>
          <c:w val="0.57695897070167523"/>
          <c:h val="0.70618750518105544"/>
        </c:manualLayout>
      </c:layout>
      <c:doughnutChart>
        <c:varyColors val="1"/>
        <c:ser>
          <c:idx val="0"/>
          <c:order val="0"/>
          <c:tx>
            <c:strRef>
              <c:f>'23.para cezası %'!$B$2</c:f>
              <c:strCache>
                <c:ptCount val="1"/>
              </c:strCache>
            </c:strRef>
          </c:tx>
          <c:spPr>
            <a:scene3d>
              <a:camera prst="orthographicFront"/>
              <a:lightRig rig="threePt" dir="t"/>
            </a:scene3d>
            <a:sp3d>
              <a:bevelT w="190500" h="38100"/>
            </a:sp3d>
          </c:spPr>
          <c:explosion val="31"/>
          <c:dPt>
            <c:idx val="0"/>
            <c:bubble3D val="0"/>
            <c:spPr>
              <a:solidFill>
                <a:schemeClr val="accent6"/>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1-6C17-4655-AB47-AD3EB9D05E8A}"/>
              </c:ext>
            </c:extLst>
          </c:dPt>
          <c:dPt>
            <c:idx val="1"/>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3-6C17-4655-AB47-AD3EB9D05E8A}"/>
              </c:ext>
            </c:extLst>
          </c:dPt>
          <c:dPt>
            <c:idx val="2"/>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5-6C17-4655-AB47-AD3EB9D05E8A}"/>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7-6C17-4655-AB47-AD3EB9D05E8A}"/>
              </c:ext>
            </c:extLst>
          </c:dPt>
          <c:dPt>
            <c:idx val="4"/>
            <c:bubble3D val="0"/>
            <c:spPr>
              <a:solidFill>
                <a:schemeClr val="accent5">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9-6C17-4655-AB47-AD3EB9D05E8A}"/>
              </c:ext>
            </c:extLst>
          </c:dPt>
          <c:dPt>
            <c:idx val="5"/>
            <c:bubble3D val="0"/>
            <c:spPr>
              <a:solidFill>
                <a:schemeClr val="accent4">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B-6C17-4655-AB47-AD3EB9D05E8A}"/>
              </c:ext>
            </c:extLst>
          </c:dPt>
          <c:dPt>
            <c:idx val="6"/>
            <c:bubble3D val="0"/>
            <c:spPr>
              <a:solidFill>
                <a:schemeClr val="accent6">
                  <a:lumMod val="80000"/>
                  <a:lumOff val="20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D-6C17-4655-AB47-AD3EB9D05E8A}"/>
              </c:ext>
            </c:extLst>
          </c:dPt>
          <c:dPt>
            <c:idx val="7"/>
            <c:bubble3D val="0"/>
            <c:explosion val="35"/>
            <c:spPr>
              <a:solidFill>
                <a:schemeClr val="accent5">
                  <a:lumMod val="80000"/>
                  <a:lumOff val="20000"/>
                </a:schemeClr>
              </a:solidFill>
              <a:ln>
                <a:noFill/>
              </a:ln>
              <a:effectLst>
                <a:outerShdw blurRad="254000" sx="102000" sy="102000" algn="ctr" rotWithShape="0">
                  <a:prstClr val="black">
                    <a:alpha val="20000"/>
                  </a:prstClr>
                </a:outerShdw>
              </a:effectLst>
              <a:scene3d>
                <a:camera prst="orthographicFront"/>
                <a:lightRig rig="threePt" dir="t"/>
              </a:scene3d>
              <a:sp3d>
                <a:bevelT w="190500" h="38100"/>
              </a:sp3d>
            </c:spPr>
            <c:extLst>
              <c:ext xmlns:c16="http://schemas.microsoft.com/office/drawing/2014/chart" uri="{C3380CC4-5D6E-409C-BE32-E72D297353CC}">
                <c16:uniqueId val="{0000000F-6C17-4655-AB47-AD3EB9D05E8A}"/>
              </c:ext>
            </c:extLst>
          </c:dPt>
          <c:dLbls>
            <c:dLbl>
              <c:idx val="0"/>
              <c:layout>
                <c:manualLayout>
                  <c:x val="3.6968576709796586E-2"/>
                  <c:y val="-0.1086637549374485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C17-4655-AB47-AD3EB9D05E8A}"/>
                </c:ext>
              </c:extLst>
            </c:dLbl>
            <c:dLbl>
              <c:idx val="1"/>
              <c:layout>
                <c:manualLayout>
                  <c:x val="6.6543438077634007E-2"/>
                  <c:y val="-8.9540876557373292E-2"/>
                </c:manualLayout>
              </c:layout>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fld id="{F1A1D1A0-88EA-4557-9A96-CCE3AEFAC3C3}" type="CATEGORYNAME">
                      <a:rPr lang="en-US"/>
                      <a:pPr>
                        <a:defRPr sz="1000" b="1" i="0" u="none" strike="noStrike" kern="1200" baseline="0">
                          <a:solidFill>
                            <a:schemeClr val="lt1"/>
                          </a:solidFill>
                          <a:latin typeface="+mn-lt"/>
                          <a:ea typeface="+mn-ea"/>
                          <a:cs typeface="+mn-cs"/>
                        </a:defRPr>
                      </a:pPr>
                      <a:t>[KATEGORİ ADI]</a:t>
                    </a:fld>
                    <a:r>
                      <a:rPr lang="en-US" baseline="0"/>
                      <a:t>
0,001</a:t>
                    </a:r>
                  </a:p>
                </c:rich>
              </c:tx>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350"/>
                        <a:gd name="adj2" fmla="val 11211"/>
                      </a:avLst>
                    </a:prstGeom>
                  </c15:spPr>
                  <c15:layout/>
                  <c15:dlblFieldTable/>
                  <c15:showDataLabelsRange val="0"/>
                </c:ext>
                <c:ext xmlns:c16="http://schemas.microsoft.com/office/drawing/2014/chart" uri="{C3380CC4-5D6E-409C-BE32-E72D297353CC}">
                  <c16:uniqueId val="{00000003-6C17-4655-AB47-AD3EB9D05E8A}"/>
                </c:ext>
              </c:extLst>
            </c:dLbl>
            <c:dLbl>
              <c:idx val="2"/>
              <c:layout>
                <c:manualLayout>
                  <c:x val="0.11337030191004308"/>
                  <c:y val="-0.10859733870298606"/>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6C17-4655-AB47-AD3EB9D05E8A}"/>
                </c:ext>
              </c:extLst>
            </c:dLbl>
            <c:dLbl>
              <c:idx val="3"/>
              <c:layout>
                <c:manualLayout>
                  <c:x val="5.4220579174368372E-2"/>
                  <c:y val="-0.2770347629203843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6C17-4655-AB47-AD3EB9D05E8A}"/>
                </c:ext>
              </c:extLst>
            </c:dLbl>
            <c:dLbl>
              <c:idx val="4"/>
              <c:layout>
                <c:manualLayout>
                  <c:x val="-2.9574861367837338E-2"/>
                  <c:y val="-9.3434641838575014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6C17-4655-AB47-AD3EB9D05E8A}"/>
                </c:ext>
              </c:extLst>
            </c:dLbl>
            <c:dLbl>
              <c:idx val="5"/>
              <c:layout>
                <c:manualLayout>
                  <c:x val="-0.14787430683918673"/>
                  <c:y val="-3.6134918805119619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6C17-4655-AB47-AD3EB9D05E8A}"/>
                </c:ext>
              </c:extLst>
            </c:dLbl>
            <c:dLbl>
              <c:idx val="6"/>
              <c:layout>
                <c:manualLayout>
                  <c:x val="-4.1897720271102903E-2"/>
                  <c:y val="-0.18672729698736185"/>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6C17-4655-AB47-AD3EB9D05E8A}"/>
                </c:ext>
              </c:extLst>
            </c:dLbl>
            <c:dLbl>
              <c:idx val="7"/>
              <c:layout>
                <c:manualLayout>
                  <c:x val="5.6685150955021572E-2"/>
                  <c:y val="-0.1674820880553352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6C17-4655-AB47-AD3EB9D05E8A}"/>
                </c:ext>
              </c:extLst>
            </c:dLbl>
            <c:numFmt formatCode="0.00%" sourceLinked="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'23.para cezası %'!$A$3:$A$10</c:f>
              <c:strCache>
                <c:ptCount val="8"/>
                <c:pt idx="0">
                  <c:v>STB</c:v>
                </c:pt>
                <c:pt idx="1">
                  <c:v>AÇSHB</c:v>
                </c:pt>
                <c:pt idx="2">
                  <c:v>ÇŞB</c:v>
                </c:pt>
                <c:pt idx="3">
                  <c:v>UAB</c:v>
                </c:pt>
                <c:pt idx="4">
                  <c:v>TOB</c:v>
                </c:pt>
                <c:pt idx="5">
                  <c:v>TKPGGM</c:v>
                </c:pt>
                <c:pt idx="6">
                  <c:v>SB</c:v>
                </c:pt>
                <c:pt idx="7">
                  <c:v>BTK</c:v>
                </c:pt>
              </c:strCache>
            </c:strRef>
          </c:cat>
          <c:val>
            <c:numRef>
              <c:f>'23.para cezası %'!$B$3:$B$10</c:f>
              <c:numCache>
                <c:formatCode>#,##0</c:formatCode>
                <c:ptCount val="8"/>
                <c:pt idx="0">
                  <c:v>11346714</c:v>
                </c:pt>
                <c:pt idx="1">
                  <c:v>385902</c:v>
                </c:pt>
                <c:pt idx="2">
                  <c:v>10130078</c:v>
                </c:pt>
                <c:pt idx="3">
                  <c:v>11328</c:v>
                </c:pt>
                <c:pt idx="4">
                  <c:v>147351813</c:v>
                </c:pt>
                <c:pt idx="5">
                  <c:v>1502706</c:v>
                </c:pt>
                <c:pt idx="6">
                  <c:v>6951664</c:v>
                </c:pt>
                <c:pt idx="7">
                  <c:v>2500401</c:v>
                </c:pt>
              </c:numCache>
            </c:numRef>
          </c:val>
          <c:extLst>
            <c:ext xmlns:c16="http://schemas.microsoft.com/office/drawing/2014/chart" uri="{C3380CC4-5D6E-409C-BE32-E72D297353CC}">
              <c16:uniqueId val="{00000010-6C17-4655-AB47-AD3EB9D05E8A}"/>
            </c:ext>
          </c:extLst>
        </c:ser>
        <c:dLbls>
          <c:showLegendKey val="0"/>
          <c:showVal val="0"/>
          <c:showCatName val="0"/>
          <c:showSerName val="0"/>
          <c:showPercent val="1"/>
          <c:showBubbleSize val="0"/>
          <c:showLeaderLines val="0"/>
        </c:dLbls>
        <c:firstSliceAng val="0"/>
        <c:holeSize val="50"/>
      </c:doughnutChart>
      <c:spPr>
        <a:noFill/>
        <a:ln>
          <a:noFill/>
        </a:ln>
        <a:effectLst/>
      </c:spPr>
    </c:plotArea>
    <c:legend>
      <c:legendPos val="r"/>
      <c:legendEntry>
        <c:idx val="0"/>
        <c:delete val="1"/>
      </c:legendEntry>
      <c:layout>
        <c:manualLayout>
          <c:xMode val="edge"/>
          <c:yMode val="edge"/>
          <c:x val="0.89537485263510375"/>
          <c:y val="0.35946327465547345"/>
          <c:w val="8.9837716680978633E-2"/>
          <c:h val="0.3985697078585077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 24</a:t>
            </a:r>
            <a:r>
              <a:rPr lang="tr-TR" baseline="0"/>
              <a:t> </a:t>
            </a:r>
            <a:r>
              <a:rPr lang="tr-TR"/>
              <a:t>- Güvensiz Ürünler ve Alınan Önlemler</a:t>
            </a:r>
          </a:p>
        </c:rich>
      </c:tx>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'25.alınan önlem'!$A$3</c:f>
              <c:strCache>
                <c:ptCount val="1"/>
                <c:pt idx="0">
                  <c:v>Önlem Alınan Ürün Sayısı</c:v>
                </c:pt>
              </c:strCache>
            </c:strRef>
          </c:tx>
          <c:spPr>
            <a:solidFill>
              <a:schemeClr val="accent1">
                <a:lumMod val="75000"/>
              </a:schemeClr>
            </a:solidFill>
            <a:ln w="9525" cap="flat" cmpd="sng" algn="ctr">
              <a:solidFill>
                <a:schemeClr val="accent1">
                  <a:lumMod val="75000"/>
                </a:schemeClr>
              </a:solidFill>
              <a:round/>
            </a:ln>
            <a:effectLst/>
            <a:scene3d>
              <a:camera prst="orthographicFront"/>
              <a:lightRig rig="threePt" dir="t"/>
            </a:scene3d>
            <a:sp3d contourW="9525">
              <a:bevelT/>
              <a:contourClr>
                <a:schemeClr val="accent1">
                  <a:lumMod val="75000"/>
                </a:schemeClr>
              </a:contourClr>
            </a:sp3d>
          </c:spPr>
          <c:invertIfNegative val="0"/>
          <c:dLbls>
            <c:dLbl>
              <c:idx val="0"/>
              <c:layout>
                <c:manualLayout>
                  <c:x val="-1.6666666666666781E-2"/>
                  <c:y val="-1.38888888888889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CA2-4F4F-A195-51CA785117AE}"/>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'25.alınan önlem'!$C$2:$D$2</c:f>
              <c:numCache>
                <c:formatCode>General</c:formatCode>
                <c:ptCount val="2"/>
                <c:pt idx="0">
                  <c:v>2018</c:v>
                </c:pt>
                <c:pt idx="1">
                  <c:v>2019</c:v>
                </c:pt>
              </c:numCache>
            </c:numRef>
          </c:cat>
          <c:val>
            <c:numRef>
              <c:f>'25.alınan önlem'!$C$3:$D$3</c:f>
              <c:numCache>
                <c:formatCode>General</c:formatCode>
                <c:ptCount val="2"/>
                <c:pt idx="0">
                  <c:v>356</c:v>
                </c:pt>
                <c:pt idx="1">
                  <c:v>474</c:v>
                </c:pt>
              </c:numCache>
            </c:numRef>
          </c:val>
          <c:extLst>
            <c:ext xmlns:c16="http://schemas.microsoft.com/office/drawing/2014/chart" uri="{C3380CC4-5D6E-409C-BE32-E72D297353CC}">
              <c16:uniqueId val="{00000001-3CA2-4F4F-A195-51CA785117AE}"/>
            </c:ext>
          </c:extLst>
        </c:ser>
        <c:ser>
          <c:idx val="1"/>
          <c:order val="1"/>
          <c:tx>
            <c:strRef>
              <c:f>'25.alınan önlem'!$A$4</c:f>
              <c:strCache>
                <c:ptCount val="1"/>
                <c:pt idx="0">
                  <c:v>Güvensiz Ürün Sayısı</c:v>
                </c:pt>
              </c:strCache>
            </c:strRef>
          </c:tx>
          <c:spPr>
            <a:solidFill>
              <a:schemeClr val="accent2">
                <a:lumMod val="75000"/>
              </a:schemeClr>
            </a:solidFill>
            <a:ln w="9525" cap="flat" cmpd="sng" algn="ctr">
              <a:solidFill>
                <a:schemeClr val="accent2">
                  <a:lumMod val="75000"/>
                </a:schemeClr>
              </a:solidFill>
              <a:round/>
            </a:ln>
            <a:effectLst/>
            <a:scene3d>
              <a:camera prst="orthographicFront"/>
              <a:lightRig rig="threePt" dir="t"/>
            </a:scene3d>
            <a:sp3d contourW="9525">
              <a:bevelT/>
              <a:contourClr>
                <a:schemeClr val="accent2">
                  <a:lumMod val="75000"/>
                </a:schemeClr>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'25.alınan önlem'!$C$2:$D$2</c:f>
              <c:numCache>
                <c:formatCode>General</c:formatCode>
                <c:ptCount val="2"/>
                <c:pt idx="0">
                  <c:v>2018</c:v>
                </c:pt>
                <c:pt idx="1">
                  <c:v>2019</c:v>
                </c:pt>
              </c:numCache>
            </c:numRef>
          </c:cat>
          <c:val>
            <c:numRef>
              <c:f>'25.alınan önlem'!$C$4:$D$4</c:f>
              <c:numCache>
                <c:formatCode>General</c:formatCode>
                <c:ptCount val="2"/>
                <c:pt idx="0">
                  <c:v>1153</c:v>
                </c:pt>
                <c:pt idx="1">
                  <c:v>1832</c:v>
                </c:pt>
              </c:numCache>
            </c:numRef>
          </c:val>
          <c:extLst>
            <c:ext xmlns:c16="http://schemas.microsoft.com/office/drawing/2014/chart" uri="{C3380CC4-5D6E-409C-BE32-E72D297353CC}">
              <c16:uniqueId val="{00000002-3CA2-4F4F-A195-51CA785117AE}"/>
            </c:ext>
          </c:extLst>
        </c:ser>
        <c:dLbls>
          <c:showLegendKey val="0"/>
          <c:showVal val="1"/>
          <c:showCatName val="0"/>
          <c:showSerName val="0"/>
          <c:showPercent val="0"/>
          <c:showBubbleSize val="0"/>
        </c:dLbls>
        <c:gapWidth val="65"/>
        <c:shape val="box"/>
        <c:axId val="227153408"/>
        <c:axId val="227154944"/>
        <c:axId val="0"/>
      </c:bar3DChart>
      <c:catAx>
        <c:axId val="227153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227154944"/>
        <c:crosses val="autoZero"/>
        <c:auto val="1"/>
        <c:lblAlgn val="ctr"/>
        <c:lblOffset val="100"/>
        <c:noMultiLvlLbl val="0"/>
      </c:catAx>
      <c:valAx>
        <c:axId val="2271549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22715340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a:sp3d>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 Grafik-3 Şikayet Üzerine Denetlenen Ürünlerin Toplam Denetimdeki Payı (TOB Hariç)</a:t>
            </a:r>
          </a:p>
        </c:rich>
      </c:tx>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FAE-4AF8-9FBB-86E8A922EBF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FAE-4AF8-9FBB-86E8A922EBF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'5-6 Şikayet üzerine '!$C$14:$D$14</c:f>
              <c:strCache>
                <c:ptCount val="2"/>
                <c:pt idx="0">
                  <c:v>Şikayet üzerine denetim</c:v>
                </c:pt>
                <c:pt idx="1">
                  <c:v>Şikayet üzerine olmayan denetim</c:v>
                </c:pt>
              </c:strCache>
            </c:strRef>
          </c:cat>
          <c:val>
            <c:numRef>
              <c:f>'5-6 Şikayet üzerine '!$C$16:$D$16</c:f>
              <c:numCache>
                <c:formatCode>General</c:formatCode>
                <c:ptCount val="2"/>
                <c:pt idx="0">
                  <c:v>5469</c:v>
                </c:pt>
                <c:pt idx="1">
                  <c:v>143823</c:v>
                </c:pt>
              </c:numCache>
            </c:numRef>
          </c:val>
          <c:extLst>
            <c:ext xmlns:c16="http://schemas.microsoft.com/office/drawing/2014/chart" uri="{C3380CC4-5D6E-409C-BE32-E72D297353CC}">
              <c16:uniqueId val="{00000004-EFAE-4AF8-9FBB-86E8A922EBFE}"/>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Grafik-4 TOB Tarafından Şikayet Üzerine Denetlenen Ürünlerin Toplam Denetimdeki Payı </a:t>
            </a:r>
          </a:p>
        </c:rich>
      </c:tx>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02A-4AF4-8500-ED6065B2A73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02A-4AF4-8500-ED6065B2A73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'5-6 Şikayet üzerine '!$C$14:$D$14</c:f>
              <c:strCache>
                <c:ptCount val="2"/>
                <c:pt idx="0">
                  <c:v>Şikayet üzerine denetim</c:v>
                </c:pt>
                <c:pt idx="1">
                  <c:v>Şikayet üzerine olmayan denetim</c:v>
                </c:pt>
              </c:strCache>
            </c:strRef>
          </c:cat>
          <c:val>
            <c:numRef>
              <c:f>'5-6 Şikayet üzerine '!$C$17:$D$17</c:f>
              <c:numCache>
                <c:formatCode>General</c:formatCode>
                <c:ptCount val="2"/>
                <c:pt idx="0">
                  <c:v>5475</c:v>
                </c:pt>
                <c:pt idx="1">
                  <c:v>109329</c:v>
                </c:pt>
              </c:numCache>
            </c:numRef>
          </c:val>
          <c:extLst>
            <c:ext xmlns:c16="http://schemas.microsoft.com/office/drawing/2014/chart" uri="{C3380CC4-5D6E-409C-BE32-E72D297353CC}">
              <c16:uniqueId val="{00000004-402A-4AF4-8500-ED6065B2A73B}"/>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Grafik-5 Yıllara Göre Denetlenen Ürün Sayıları</a:t>
            </a:r>
          </a:p>
        </c:rich>
      </c:tx>
      <c:layout/>
      <c:overlay val="0"/>
      <c:spPr>
        <a:noFill/>
        <a:ln>
          <a:noFill/>
        </a:ln>
        <a:effectLst/>
      </c:spPr>
    </c:title>
    <c:autoTitleDeleted val="0"/>
    <c:plotArea>
      <c:layout/>
      <c:barChart>
        <c:barDir val="col"/>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'7 Yıllara göre denetim'!$B$4:$C$4</c:f>
              <c:numCache>
                <c:formatCode>General</c:formatCode>
                <c:ptCount val="2"/>
                <c:pt idx="0">
                  <c:v>2018</c:v>
                </c:pt>
                <c:pt idx="1">
                  <c:v>2019</c:v>
                </c:pt>
              </c:numCache>
            </c:numRef>
          </c:cat>
          <c:val>
            <c:numRef>
              <c:f>'7 Yıllara göre denetim'!$B$13:$C$13</c:f>
              <c:numCache>
                <c:formatCode>General</c:formatCode>
                <c:ptCount val="2"/>
                <c:pt idx="0">
                  <c:v>240977</c:v>
                </c:pt>
                <c:pt idx="1">
                  <c:v>267594</c:v>
                </c:pt>
              </c:numCache>
            </c:numRef>
          </c:val>
          <c:extLst>
            <c:ext xmlns:c16="http://schemas.microsoft.com/office/drawing/2014/chart" uri="{C3380CC4-5D6E-409C-BE32-E72D297353CC}">
              <c16:uniqueId val="{00000000-B0DB-42F3-8622-36D16164CB48}"/>
            </c:ext>
          </c:extLst>
        </c:ser>
        <c:dLbls>
          <c:showLegendKey val="0"/>
          <c:showVal val="1"/>
          <c:showCatName val="0"/>
          <c:showSerName val="0"/>
          <c:showPercent val="0"/>
          <c:showBubbleSize val="0"/>
        </c:dLbls>
        <c:gapWidth val="65"/>
        <c:axId val="197866240"/>
        <c:axId val="197867776"/>
      </c:barChart>
      <c:catAx>
        <c:axId val="1978662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97867776"/>
        <c:crosses val="autoZero"/>
        <c:auto val="1"/>
        <c:lblAlgn val="ctr"/>
        <c:lblOffset val="100"/>
        <c:noMultiLvlLbl val="0"/>
      </c:catAx>
      <c:valAx>
        <c:axId val="1978677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786624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Grafik-6 Kuruluşların Yıllara Göre Denetledikleri Ürünler</a:t>
            </a:r>
          </a:p>
        </c:rich>
      </c:tx>
      <c:layout/>
      <c:overlay val="0"/>
      <c:spPr>
        <a:noFill/>
        <a:ln>
          <a:noFill/>
        </a:ln>
        <a:effectLst/>
      </c:spPr>
    </c:title>
    <c:autoTitleDeleted val="0"/>
    <c:plotArea>
      <c:layout/>
      <c:barChart>
        <c:barDir val="col"/>
        <c:grouping val="clustered"/>
        <c:varyColors val="0"/>
        <c:ser>
          <c:idx val="0"/>
          <c:order val="0"/>
          <c:tx>
            <c:strRef>
              <c:f>'8.denetim değişim'!$C$2</c:f>
              <c:strCache>
                <c:ptCount val="1"/>
                <c:pt idx="0">
                  <c:v>2018</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'8.denetim değişim'!$A$3:$A$10</c:f>
              <c:strCache>
                <c:ptCount val="8"/>
                <c:pt idx="0">
                  <c:v>STB</c:v>
                </c:pt>
                <c:pt idx="1">
                  <c:v>AÇSHB</c:v>
                </c:pt>
                <c:pt idx="2">
                  <c:v>ÇŞB</c:v>
                </c:pt>
                <c:pt idx="3">
                  <c:v>TOB</c:v>
                </c:pt>
                <c:pt idx="4">
                  <c:v>TKPGGM</c:v>
                </c:pt>
                <c:pt idx="5">
                  <c:v>SB</c:v>
                </c:pt>
                <c:pt idx="6">
                  <c:v>UAB</c:v>
                </c:pt>
                <c:pt idx="7">
                  <c:v>BTK</c:v>
                </c:pt>
              </c:strCache>
            </c:strRef>
          </c:cat>
          <c:val>
            <c:numRef>
              <c:f>'8.denetim değişim'!$C$3:$C$10</c:f>
              <c:numCache>
                <c:formatCode>General</c:formatCode>
                <c:ptCount val="8"/>
                <c:pt idx="0">
                  <c:v>67232</c:v>
                </c:pt>
                <c:pt idx="1">
                  <c:v>1516</c:v>
                </c:pt>
                <c:pt idx="2">
                  <c:v>13401</c:v>
                </c:pt>
                <c:pt idx="3">
                  <c:v>91725</c:v>
                </c:pt>
                <c:pt idx="4">
                  <c:v>1827</c:v>
                </c:pt>
                <c:pt idx="5">
                  <c:v>61841</c:v>
                </c:pt>
                <c:pt idx="6">
                  <c:v>414</c:v>
                </c:pt>
                <c:pt idx="7">
                  <c:v>3021</c:v>
                </c:pt>
              </c:numCache>
            </c:numRef>
          </c:val>
          <c:extLst>
            <c:ext xmlns:c16="http://schemas.microsoft.com/office/drawing/2014/chart" uri="{C3380CC4-5D6E-409C-BE32-E72D297353CC}">
              <c16:uniqueId val="{00000000-62E1-4DE7-977A-80AD0C9A27C9}"/>
            </c:ext>
          </c:extLst>
        </c:ser>
        <c:ser>
          <c:idx val="1"/>
          <c:order val="1"/>
          <c:tx>
            <c:strRef>
              <c:f>'8.denetim değişim'!$D$2</c:f>
              <c:strCache>
                <c:ptCount val="1"/>
                <c:pt idx="0">
                  <c:v>2019</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'8.denetim değişim'!$A$3:$A$10</c:f>
              <c:strCache>
                <c:ptCount val="8"/>
                <c:pt idx="0">
                  <c:v>STB</c:v>
                </c:pt>
                <c:pt idx="1">
                  <c:v>AÇSHB</c:v>
                </c:pt>
                <c:pt idx="2">
                  <c:v>ÇŞB</c:v>
                </c:pt>
                <c:pt idx="3">
                  <c:v>TOB</c:v>
                </c:pt>
                <c:pt idx="4">
                  <c:v>TKPGGM</c:v>
                </c:pt>
                <c:pt idx="5">
                  <c:v>SB</c:v>
                </c:pt>
                <c:pt idx="6">
                  <c:v>UAB</c:v>
                </c:pt>
                <c:pt idx="7">
                  <c:v>BTK</c:v>
                </c:pt>
              </c:strCache>
            </c:strRef>
          </c:cat>
          <c:val>
            <c:numRef>
              <c:f>'8.denetim değişim'!$D$3:$D$10</c:f>
              <c:numCache>
                <c:formatCode>General</c:formatCode>
                <c:ptCount val="8"/>
                <c:pt idx="0">
                  <c:v>72576</c:v>
                </c:pt>
                <c:pt idx="1">
                  <c:v>845</c:v>
                </c:pt>
                <c:pt idx="2">
                  <c:v>14573</c:v>
                </c:pt>
                <c:pt idx="3">
                  <c:v>114804</c:v>
                </c:pt>
                <c:pt idx="4">
                  <c:v>2686</c:v>
                </c:pt>
                <c:pt idx="5">
                  <c:v>58459</c:v>
                </c:pt>
                <c:pt idx="6">
                  <c:v>411</c:v>
                </c:pt>
                <c:pt idx="7">
                  <c:v>3240</c:v>
                </c:pt>
              </c:numCache>
            </c:numRef>
          </c:val>
          <c:extLst>
            <c:ext xmlns:c16="http://schemas.microsoft.com/office/drawing/2014/chart" uri="{C3380CC4-5D6E-409C-BE32-E72D297353CC}">
              <c16:uniqueId val="{00000001-62E1-4DE7-977A-80AD0C9A27C9}"/>
            </c:ext>
          </c:extLst>
        </c:ser>
        <c:dLbls>
          <c:showLegendKey val="0"/>
          <c:showVal val="1"/>
          <c:showCatName val="0"/>
          <c:showSerName val="0"/>
          <c:showPercent val="0"/>
          <c:showBubbleSize val="0"/>
        </c:dLbls>
        <c:gapWidth val="65"/>
        <c:axId val="197819776"/>
        <c:axId val="197903488"/>
      </c:barChart>
      <c:catAx>
        <c:axId val="19781977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97903488"/>
        <c:crosses val="autoZero"/>
        <c:auto val="1"/>
        <c:lblAlgn val="ctr"/>
        <c:lblOffset val="100"/>
        <c:noMultiLvlLbl val="0"/>
      </c:catAx>
      <c:valAx>
        <c:axId val="19790348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9781977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ln>
                <a:noFill/>
              </a:ln>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Grafik-7 PGD Kuruluşlarının Denetimlerdeki Payı (%)</a:t>
            </a:r>
          </a:p>
        </c:rich>
      </c:tx>
      <c:layout/>
      <c:overlay val="0"/>
      <c:spPr>
        <a:noFill/>
        <a:ln>
          <a:noFill/>
        </a:ln>
        <a:effectLst/>
      </c:spPr>
    </c:title>
    <c:autoTitleDeleted val="0"/>
    <c:plotArea>
      <c:layout>
        <c:manualLayout>
          <c:layoutTarget val="inner"/>
          <c:xMode val="edge"/>
          <c:yMode val="edge"/>
          <c:x val="0.31592831026850376"/>
          <c:y val="0.12168235708989969"/>
          <c:w val="0.43933436589052655"/>
          <c:h val="0.805287603691621"/>
        </c:manualLayout>
      </c:layout>
      <c:doughnutChart>
        <c:varyColors val="1"/>
        <c:ser>
          <c:idx val="0"/>
          <c:order val="0"/>
          <c:tx>
            <c:strRef>
              <c:f>'9.denetim %'!$B$2</c:f>
              <c:strCache>
                <c:ptCount val="1"/>
                <c:pt idx="0">
                  <c:v>2019</c:v>
                </c:pt>
              </c:strCache>
            </c:strRef>
          </c:tx>
          <c:explosion val="25"/>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922-40D1-8B7D-44B3FA94618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922-40D1-8B7D-44B3FA94618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922-40D1-8B7D-44B3FA94618A}"/>
              </c:ext>
            </c:extLst>
          </c:dPt>
          <c:dPt>
            <c:idx val="3"/>
            <c:bubble3D val="0"/>
            <c:explosion val="23"/>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922-40D1-8B7D-44B3FA94618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922-40D1-8B7D-44B3FA94618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922-40D1-8B7D-44B3FA94618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5922-40D1-8B7D-44B3FA94618A}"/>
              </c:ext>
            </c:extLst>
          </c:dPt>
          <c:dLbls>
            <c:dLbl>
              <c:idx val="0"/>
              <c:layout>
                <c:manualLayout>
                  <c:x val="0.13231550395497266"/>
                  <c:y val="-0.21782172557321131"/>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922-40D1-8B7D-44B3FA94618A}"/>
                </c:ext>
              </c:extLst>
            </c:dLbl>
            <c:dLbl>
              <c:idx val="1"/>
              <c:layout>
                <c:manualLayout>
                  <c:x val="0.17854526098771151"/>
                  <c:y val="-2.3248915077668294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922-40D1-8B7D-44B3FA94618A}"/>
                </c:ext>
              </c:extLst>
            </c:dLbl>
            <c:dLbl>
              <c:idx val="2"/>
              <c:layout>
                <c:manualLayout>
                  <c:x val="0.16663263450860813"/>
                  <c:y val="7.3260213334260291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922-40D1-8B7D-44B3FA94618A}"/>
                </c:ext>
              </c:extLst>
            </c:dLbl>
            <c:dLbl>
              <c:idx val="3"/>
              <c:layout>
                <c:manualLayout>
                  <c:x val="-0.12134638037755466"/>
                  <c:y val="5.8339165214218516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922-40D1-8B7D-44B3FA94618A}"/>
                </c:ext>
              </c:extLst>
            </c:dLbl>
            <c:dLbl>
              <c:idx val="4"/>
              <c:layout>
                <c:manualLayout>
                  <c:x val="-0.12383374088093613"/>
                  <c:y val="-1.6501645876758435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5922-40D1-8B7D-44B3FA94618A}"/>
                </c:ext>
              </c:extLst>
            </c:dLbl>
            <c:dLbl>
              <c:idx val="5"/>
              <c:layout>
                <c:manualLayout>
                  <c:x val="-6.6111536386563224E-2"/>
                  <c:y val="-0.15852312608218971"/>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5922-40D1-8B7D-44B3FA94618A}"/>
                </c:ext>
              </c:extLst>
            </c:dLbl>
            <c:dLbl>
              <c:idx val="6"/>
              <c:layout>
                <c:manualLayout>
                  <c:x val="4.2944689379087291E-5"/>
                  <c:y val="-0.1017387727196353"/>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5922-40D1-8B7D-44B3FA94618A}"/>
                </c:ext>
              </c:extLst>
            </c:dLbl>
            <c:dLbl>
              <c:idx val="7"/>
              <c:layout>
                <c:manualLayout>
                  <c:x val="7.2228423630272001E-2"/>
                  <c:y val="-2.6509959068122202E-2"/>
                </c:manualLayout>
              </c:layout>
              <c:tx>
                <c:rich>
                  <a:bodyPr/>
                  <a:lstStyle/>
                  <a:p>
                    <a:fld id="{718BFED7-094B-4348-9CD3-1EF5C03874CF}" type="CATEGORYNAME">
                      <a:rPr lang="en-US"/>
                      <a:pPr/>
                      <a:t>[KATEGORİ ADI]</a:t>
                    </a:fld>
                    <a:r>
                      <a:rPr lang="en-US" baseline="0"/>
                      <a:t>; </a:t>
                    </a:r>
                    <a:fld id="{C9573709-5996-4C1A-9633-F1701C8CA0E8}" type="VALUE">
                      <a:rPr lang="en-US" baseline="0"/>
                      <a:pPr/>
                      <a:t>[DEĞER]</a:t>
                    </a:fld>
                    <a:r>
                      <a:rPr lang="en-US" baseline="0"/>
                      <a:t>; 0.2%</a:t>
                    </a: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5922-40D1-8B7D-44B3FA94618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'9.denetim %'!$A$3:$A$9</c:f>
              <c:strCache>
                <c:ptCount val="7"/>
                <c:pt idx="0">
                  <c:v>STB</c:v>
                </c:pt>
                <c:pt idx="1">
                  <c:v>AÇSHB</c:v>
                </c:pt>
                <c:pt idx="2">
                  <c:v>ÇŞB</c:v>
                </c:pt>
                <c:pt idx="3">
                  <c:v>TOB</c:v>
                </c:pt>
                <c:pt idx="4">
                  <c:v>TKPGGM</c:v>
                </c:pt>
                <c:pt idx="5">
                  <c:v>SB</c:v>
                </c:pt>
                <c:pt idx="6">
                  <c:v>UAB</c:v>
                </c:pt>
              </c:strCache>
            </c:strRef>
          </c:cat>
          <c:val>
            <c:numRef>
              <c:f>'9.denetim %'!$B$3:$B$9</c:f>
              <c:numCache>
                <c:formatCode>General</c:formatCode>
                <c:ptCount val="7"/>
                <c:pt idx="0">
                  <c:v>72576</c:v>
                </c:pt>
                <c:pt idx="1">
                  <c:v>845</c:v>
                </c:pt>
                <c:pt idx="2">
                  <c:v>14573</c:v>
                </c:pt>
                <c:pt idx="3">
                  <c:v>114804</c:v>
                </c:pt>
                <c:pt idx="4">
                  <c:v>2686</c:v>
                </c:pt>
                <c:pt idx="5">
                  <c:v>58459</c:v>
                </c:pt>
                <c:pt idx="6">
                  <c:v>411</c:v>
                </c:pt>
              </c:numCache>
            </c:numRef>
          </c:val>
          <c:extLst>
            <c:ext xmlns:c16="http://schemas.microsoft.com/office/drawing/2014/chart" uri="{C3380CC4-5D6E-409C-BE32-E72D297353CC}">
              <c16:uniqueId val="{0000000F-5922-40D1-8B7D-44B3FA94618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l"/>
      <c:layout>
        <c:manualLayout>
          <c:xMode val="edge"/>
          <c:yMode val="edge"/>
          <c:x val="1.2537874830216289E-2"/>
          <c:y val="0.1995206661552012"/>
          <c:w val="0.10166472373483883"/>
          <c:h val="0.671225311996155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sz="1800" b="1" i="0" baseline="0">
                <a:effectLst/>
              </a:rPr>
              <a:t>Grafik-8 En Çok </a:t>
            </a:r>
            <a:r>
              <a:rPr lang="en-US" sz="1800" b="1" i="0" baseline="0">
                <a:effectLst/>
              </a:rPr>
              <a:t>D</a:t>
            </a:r>
            <a:r>
              <a:rPr lang="tr-TR" sz="1800" b="1" i="0" baseline="0">
                <a:effectLst/>
              </a:rPr>
              <a:t>enetlenen Ürün Kategorileri (Ürün Partisi) </a:t>
            </a:r>
            <a:endParaRPr lang="tr-TR">
              <a:effectLst/>
            </a:endParaRPr>
          </a:p>
        </c:rich>
      </c:tx>
      <c:layout/>
      <c:overlay val="0"/>
      <c:spPr>
        <a:noFill/>
        <a:ln>
          <a:noFill/>
        </a:ln>
        <a:effectLst/>
      </c:sp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'10.denetlenen ilk10'!$A$4:$A$13</c:f>
              <c:strCache>
                <c:ptCount val="10"/>
                <c:pt idx="0">
                  <c:v>BİYOSİDAL ÜRÜNLER </c:v>
                </c:pt>
                <c:pt idx="1">
                  <c:v>KİMYEVİ VE ORGANİK GÜBRELER</c:v>
                </c:pt>
                <c:pt idx="2">
                  <c:v>GIDA</c:v>
                </c:pt>
                <c:pt idx="3">
                  <c:v>ELEKTRİKLİ EKİPMANLAR</c:v>
                </c:pt>
                <c:pt idx="4">
                  <c:v>TAŞINABİLİR BASINÇLI EKİPMANLAR </c:v>
                </c:pt>
                <c:pt idx="5">
                  <c:v>ENERJİ VERİMLİLİĞİ</c:v>
                </c:pt>
                <c:pt idx="6">
                  <c:v>YEM</c:v>
                </c:pt>
                <c:pt idx="7">
                  <c:v>HAZIR BETON DIŞINDAKİ 
YAPI MALZEMELERİ</c:v>
                </c:pt>
                <c:pt idx="8">
                  <c:v>ASANSÖR</c:v>
                </c:pt>
                <c:pt idx="9">
                  <c:v>MAKİNELER</c:v>
                </c:pt>
              </c:strCache>
            </c:strRef>
          </c:cat>
          <c:val>
            <c:numRef>
              <c:f>'10.denetlenen ilk10'!$B$4:$B$13</c:f>
              <c:numCache>
                <c:formatCode>General</c:formatCode>
                <c:ptCount val="10"/>
                <c:pt idx="0">
                  <c:v>54135</c:v>
                </c:pt>
                <c:pt idx="1">
                  <c:v>53853</c:v>
                </c:pt>
                <c:pt idx="2">
                  <c:v>52486</c:v>
                </c:pt>
                <c:pt idx="3">
                  <c:v>16378</c:v>
                </c:pt>
                <c:pt idx="4">
                  <c:v>13475</c:v>
                </c:pt>
                <c:pt idx="5">
                  <c:v>9400</c:v>
                </c:pt>
                <c:pt idx="6">
                  <c:v>8465</c:v>
                </c:pt>
                <c:pt idx="7">
                  <c:v>8238</c:v>
                </c:pt>
                <c:pt idx="8">
                  <c:v>7962</c:v>
                </c:pt>
                <c:pt idx="9">
                  <c:v>7109</c:v>
                </c:pt>
              </c:numCache>
            </c:numRef>
          </c:val>
          <c:extLst>
            <c:ext xmlns:c16="http://schemas.microsoft.com/office/drawing/2014/chart" uri="{C3380CC4-5D6E-409C-BE32-E72D297353CC}">
              <c16:uniqueId val="{00000000-E9DF-4ADC-8EDE-C4A714CA5A13}"/>
            </c:ext>
          </c:extLst>
        </c:ser>
        <c:dLbls>
          <c:showLegendKey val="0"/>
          <c:showVal val="1"/>
          <c:showCatName val="0"/>
          <c:showSerName val="0"/>
          <c:showPercent val="0"/>
          <c:showBubbleSize val="0"/>
        </c:dLbls>
        <c:gapWidth val="65"/>
        <c:axId val="198200320"/>
        <c:axId val="198206208"/>
      </c:barChart>
      <c:catAx>
        <c:axId val="1982003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98206208"/>
        <c:crosses val="autoZero"/>
        <c:auto val="1"/>
        <c:lblAlgn val="ctr"/>
        <c:lblOffset val="100"/>
        <c:noMultiLvlLbl val="0"/>
      </c:catAx>
      <c:valAx>
        <c:axId val="19820620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982003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Grafik-9 Denetlenen Ürünlerde Tespit Edilen Uygunsuzluk ve Güvensizlikler</a:t>
            </a:r>
          </a:p>
        </c:rich>
      </c:tx>
      <c:layout/>
      <c:overlay val="0"/>
      <c:spPr>
        <a:noFill/>
        <a:ln>
          <a:noFill/>
        </a:ln>
        <a:effectLst/>
      </c:spPr>
    </c:title>
    <c:autoTitleDeleted val="0"/>
    <c:plotArea>
      <c:layout/>
      <c:ofPieChart>
        <c:ofPieType val="bar"/>
        <c:varyColors val="1"/>
        <c:ser>
          <c:idx val="0"/>
          <c:order val="0"/>
          <c:tx>
            <c:strRef>
              <c:f>'11.uyg-güv'!$A$3</c:f>
              <c:strCache>
                <c:ptCount val="1"/>
                <c:pt idx="0">
                  <c:v>TOPLAM</c:v>
                </c:pt>
              </c:strCache>
            </c:strRef>
          </c:tx>
          <c:dPt>
            <c:idx val="0"/>
            <c:bubble3D val="0"/>
            <c:explosion val="20"/>
            <c:spPr>
              <a:solidFill>
                <a:schemeClr val="tx2">
                  <a:lumMod val="75000"/>
                </a:schemeClr>
              </a:solidFill>
              <a:ln w="28575">
                <a:solidFill>
                  <a:schemeClr val="tx2">
                    <a:lumMod val="75000"/>
                  </a:scheme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D27-4CB3-8422-71E3F4A039D7}"/>
              </c:ext>
            </c:extLst>
          </c:dPt>
          <c:dPt>
            <c:idx val="1"/>
            <c:bubble3D val="0"/>
            <c:spPr>
              <a:solidFill>
                <a:schemeClr val="accent5">
                  <a:lumMod val="60000"/>
                  <a:lumOff val="40000"/>
                </a:schemeClr>
              </a:solidFill>
              <a:ln w="28575">
                <a:solidFill>
                  <a:schemeClr val="accent5">
                    <a:lumMod val="60000"/>
                    <a:lumOff val="40000"/>
                  </a:scheme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D27-4CB3-8422-71E3F4A039D7}"/>
              </c:ext>
            </c:extLst>
          </c:dPt>
          <c:dPt>
            <c:idx val="2"/>
            <c:bubble3D val="0"/>
            <c:spPr>
              <a:solidFill>
                <a:srgbClr val="C00000"/>
              </a:solidFill>
              <a:ln w="28575">
                <a:solidFill>
                  <a:srgbClr val="C00000"/>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D27-4CB3-8422-71E3F4A039D7}"/>
              </c:ext>
            </c:extLst>
          </c:dPt>
          <c:dPt>
            <c:idx val="3"/>
            <c:bubble3D val="0"/>
            <c:spPr>
              <a:solidFill>
                <a:schemeClr val="accent4">
                  <a:lumMod val="75000"/>
                </a:schemeClr>
              </a:solidFill>
              <a:ln w="28575">
                <a:solidFill>
                  <a:schemeClr val="accent4">
                    <a:lumMod val="75000"/>
                  </a:scheme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D27-4CB3-8422-71E3F4A039D7}"/>
              </c:ext>
            </c:extLst>
          </c:dPt>
          <c:dPt>
            <c:idx val="4"/>
            <c:bubble3D val="0"/>
            <c:explosion val="18"/>
            <c:spPr>
              <a:solidFill>
                <a:schemeClr val="accent6">
                  <a:lumMod val="75000"/>
                </a:schemeClr>
              </a:solidFill>
              <a:ln w="28575">
                <a:solidFill>
                  <a:schemeClr val="accent6">
                    <a:lumMod val="75000"/>
                  </a:scheme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D27-4CB3-8422-71E3F4A039D7}"/>
              </c:ext>
            </c:extLst>
          </c:dPt>
          <c:dPt>
            <c:idx val="5"/>
            <c:bubble3D val="0"/>
            <c:explosion val="13"/>
            <c:spPr>
              <a:solidFill>
                <a:schemeClr val="accent5">
                  <a:lumMod val="60000"/>
                  <a:lumOff val="40000"/>
                </a:schemeClr>
              </a:solidFill>
              <a:ln>
                <a:solidFill>
                  <a:schemeClr val="accent5">
                    <a:lumMod val="60000"/>
                    <a:lumOff val="40000"/>
                  </a:scheme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D27-4CB3-8422-71E3F4A039D7}"/>
              </c:ext>
            </c:extLst>
          </c:dPt>
          <c:dLbls>
            <c:dLbl>
              <c:idx val="2"/>
              <c:delete val="1"/>
              <c:extLst>
                <c:ext xmlns:c15="http://schemas.microsoft.com/office/drawing/2012/chart" uri="{CE6537A1-D6FC-4f65-9D91-7224C49458BB}"/>
                <c:ext xmlns:c16="http://schemas.microsoft.com/office/drawing/2014/chart" uri="{C3380CC4-5D6E-409C-BE32-E72D297353CC}">
                  <c16:uniqueId val="{00000005-7D27-4CB3-8422-71E3F4A039D7}"/>
                </c:ext>
              </c:extLst>
            </c:dLbl>
            <c:dLbl>
              <c:idx val="3"/>
              <c:layout>
                <c:manualLayout>
                  <c:x val="-9.2954840376496983E-2"/>
                  <c:y val="-0.30363036303630381"/>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D27-4CB3-8422-71E3F4A039D7}"/>
                </c:ext>
              </c:extLst>
            </c:dLbl>
            <c:dLbl>
              <c:idx val="4"/>
              <c:layout>
                <c:manualLayout>
                  <c:x val="-7.8629768594361965E-2"/>
                  <c:y val="6.6006600660066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D27-4CB3-8422-71E3F4A039D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0"/>
            <c:extLst>
              <c:ext xmlns:c15="http://schemas.microsoft.com/office/drawing/2012/chart" uri="{CE6537A1-D6FC-4f65-9D91-7224C49458BB}">
                <c15:layout/>
              </c:ext>
            </c:extLst>
          </c:dLbls>
          <c:cat>
            <c:strRef>
              <c:f>'11.uyg-güv'!$B$2:$F$2</c:f>
              <c:strCache>
                <c:ptCount val="5"/>
                <c:pt idx="0">
                  <c:v> Uygun Ürün Partisi</c:v>
                </c:pt>
                <c:pt idx="1">
                  <c:v>Denetimi Sonuçlanmayan Ürün Partisi</c:v>
                </c:pt>
                <c:pt idx="2">
                  <c:v>Denetimi Sonuçlanmayan Ürün Partisi</c:v>
                </c:pt>
                <c:pt idx="3">
                  <c:v>Uygunsuz Ürün Partisi</c:v>
                </c:pt>
                <c:pt idx="4">
                  <c:v>Güvensiz Ürün Partisi</c:v>
                </c:pt>
              </c:strCache>
            </c:strRef>
          </c:cat>
          <c:val>
            <c:numRef>
              <c:f>'11.uyg-güv'!$B$3:$F$3</c:f>
              <c:numCache>
                <c:formatCode>#,##0</c:formatCode>
                <c:ptCount val="5"/>
                <c:pt idx="0">
                  <c:v>235571</c:v>
                </c:pt>
                <c:pt idx="1">
                  <c:v>790</c:v>
                </c:pt>
                <c:pt idx="3">
                  <c:v>29403</c:v>
                </c:pt>
                <c:pt idx="4">
                  <c:v>1830</c:v>
                </c:pt>
              </c:numCache>
            </c:numRef>
          </c:val>
          <c:extLst>
            <c:ext xmlns:c16="http://schemas.microsoft.com/office/drawing/2014/chart" uri="{C3380CC4-5D6E-409C-BE32-E72D297353CC}">
              <c16:uniqueId val="{0000000C-7D27-4CB3-8422-71E3F4A039D7}"/>
            </c:ext>
          </c:extLst>
        </c:ser>
        <c:dLbls>
          <c:showLegendKey val="0"/>
          <c:showVal val="0"/>
          <c:showCatName val="0"/>
          <c:showSerName val="0"/>
          <c:showPercent val="1"/>
          <c:showBubbleSize val="0"/>
          <c:showLeaderLines val="0"/>
        </c:dLbls>
        <c:gapWidth val="120"/>
        <c:secondPieSize val="75"/>
        <c:serLines>
          <c:spPr>
            <a:ln w="9525">
              <a:solidFill>
                <a:schemeClr val="dk1">
                  <a:lumMod val="50000"/>
                  <a:lumOff val="50000"/>
                </a:schemeClr>
              </a:solidFill>
              <a:round/>
            </a:ln>
            <a:effectLst/>
          </c:spPr>
        </c:serLines>
      </c:of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2F66-F277-4167-AB44-2A81CF78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13802</Words>
  <Characters>78676</Characters>
  <Application>Microsoft Office Word</Application>
  <DocSecurity>0</DocSecurity>
  <Lines>655</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 Didem SAYGI</dc:creator>
  <cp:lastModifiedBy>Münevver KOÇAK</cp:lastModifiedBy>
  <cp:revision>4</cp:revision>
  <cp:lastPrinted>2019-03-29T12:41:00Z</cp:lastPrinted>
  <dcterms:created xsi:type="dcterms:W3CDTF">2020-09-23T12:41:00Z</dcterms:created>
  <dcterms:modified xsi:type="dcterms:W3CDTF">2020-09-23T13:43:00Z</dcterms:modified>
</cp:coreProperties>
</file>